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rPr>
          <w:rFonts w:hint="eastAsia"/>
          <w:sz w:val="44"/>
          <w:szCs w:val="44"/>
        </w:rPr>
      </w:pPr>
      <w:r>
        <w:rPr>
          <w:rFonts w:hint="eastAsia"/>
          <w:sz w:val="44"/>
          <w:szCs w:val="44"/>
        </w:rPr>
        <w:t>2025年</w:t>
      </w:r>
      <w:r>
        <w:rPr>
          <w:rFonts w:hint="eastAsia"/>
          <w:sz w:val="44"/>
          <w:szCs w:val="44"/>
          <w:lang w:val="en-US" w:eastAsia="zh-CN"/>
        </w:rPr>
        <w:t>抚远</w:t>
      </w:r>
      <w:r>
        <w:rPr>
          <w:rFonts w:hint="eastAsia"/>
          <w:sz w:val="44"/>
          <w:szCs w:val="44"/>
        </w:rPr>
        <w:t>市农作物重大病虫害</w:t>
      </w:r>
    </w:p>
    <w:p>
      <w:pPr>
        <w:ind w:firstLine="2200" w:firstLineChars="500"/>
        <w:rPr>
          <w:rFonts w:hint="eastAsia"/>
          <w:sz w:val="44"/>
          <w:szCs w:val="44"/>
        </w:rPr>
      </w:pPr>
      <w:r>
        <w:rPr>
          <w:rFonts w:hint="eastAsia"/>
          <w:sz w:val="44"/>
          <w:szCs w:val="44"/>
        </w:rPr>
        <w:t>防控项目实施方案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为科学有效防控农作物重大病虫疫情危害，扎实推进农药科学安全增效使用，保障我市农业生产安全，结合我市农业生产实际，特制定本实施方案。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一、工作目标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全面贯彻落实国家、省、市保障粮食安全布署要求，牢固树立“公共植保、绿色植保”理念，强化“政府主导、属地责任、联防联控”，加强重大病虫疫情监测预警和防控指导网络体系建设和管理，提升监测预警和防控能力，实施统防统治，开展绿色防控，重大病虫疫情得到有效控制，新发突发重大农业植物疫情得到有效处置，有力保障我市粮食安全和农业生产安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二、项目任务</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抚远</w:t>
      </w:r>
      <w:r>
        <w:rPr>
          <w:rFonts w:hint="eastAsia" w:ascii="仿宋" w:hAnsi="仿宋" w:eastAsia="仿宋" w:cs="仿宋"/>
          <w:sz w:val="32"/>
          <w:szCs w:val="32"/>
        </w:rPr>
        <w:t>市设立病虫疫情监测点</w:t>
      </w:r>
      <w:r>
        <w:rPr>
          <w:rFonts w:hint="eastAsia" w:ascii="仿宋" w:hAnsi="仿宋" w:eastAsia="仿宋" w:cs="仿宋"/>
          <w:sz w:val="32"/>
          <w:szCs w:val="32"/>
          <w:lang w:val="en-US" w:eastAsia="zh-CN"/>
        </w:rPr>
        <w:t>173</w:t>
      </w:r>
      <w:r>
        <w:rPr>
          <w:rFonts w:hint="eastAsia" w:ascii="仿宋" w:hAnsi="仿宋" w:eastAsia="仿宋" w:cs="仿宋"/>
          <w:sz w:val="32"/>
          <w:szCs w:val="32"/>
        </w:rPr>
        <w:t>个，发布预报预警10期以上，重大病虫害统防统治</w:t>
      </w:r>
      <w:r>
        <w:rPr>
          <w:rFonts w:hint="eastAsia" w:ascii="仿宋" w:hAnsi="仿宋" w:eastAsia="仿宋" w:cs="仿宋"/>
          <w:sz w:val="32"/>
          <w:szCs w:val="32"/>
          <w:lang w:val="en-US" w:eastAsia="zh-CN"/>
        </w:rPr>
        <w:t>1.9</w:t>
      </w:r>
      <w:r>
        <w:rPr>
          <w:rFonts w:hint="eastAsia" w:ascii="仿宋" w:hAnsi="仿宋" w:eastAsia="仿宋" w:cs="仿宋"/>
          <w:sz w:val="32"/>
          <w:szCs w:val="32"/>
        </w:rPr>
        <w:t>万亩，示范配备风幕式喷杆喷雾机1台。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三、主要工作内容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1、加强监测调查和预报预警。</w:t>
      </w:r>
      <w:r>
        <w:rPr>
          <w:rFonts w:hint="eastAsia" w:ascii="仿宋" w:hAnsi="仿宋" w:eastAsia="仿宋" w:cs="仿宋"/>
          <w:sz w:val="32"/>
          <w:szCs w:val="32"/>
          <w:lang w:val="en-US" w:eastAsia="zh-CN"/>
        </w:rPr>
        <w:t>抚远</w:t>
      </w:r>
      <w:r>
        <w:rPr>
          <w:rFonts w:hint="eastAsia" w:ascii="仿宋" w:hAnsi="仿宋" w:eastAsia="仿宋" w:cs="仿宋"/>
          <w:sz w:val="32"/>
          <w:szCs w:val="32"/>
        </w:rPr>
        <w:t>市农业技术推广中心要全面加强病虫疫情监测点和植保员的管理及培训指导，做好各类监测设备的维修维护和管理使用，及时组织做好重</w:t>
      </w:r>
    </w:p>
    <w:p>
      <w:pPr>
        <w:rPr>
          <w:rFonts w:hint="eastAsia" w:ascii="仿宋" w:hAnsi="仿宋" w:eastAsia="仿宋" w:cs="仿宋"/>
          <w:sz w:val="32"/>
          <w:szCs w:val="32"/>
        </w:rPr>
      </w:pPr>
      <w:r>
        <w:rPr>
          <w:rFonts w:hint="eastAsia" w:ascii="仿宋" w:hAnsi="仿宋" w:eastAsia="仿宋" w:cs="仿宋"/>
          <w:sz w:val="32"/>
          <w:szCs w:val="32"/>
        </w:rPr>
        <w:t>大病虫疫情监测工作，全面掌握重大病虫疫情发生情况和发展动态，及时发布预报预警，科学确定应防区域和防控适期，为防控工作提供基础性信息保障。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实施科学防控和绿色防控。重点防控主要粮食作物重大病虫害。全部使用生物药剂防控技术，应用占比达100%。综合考虑多种防治对象和农作物提质增产需要，科学合理混配使用杀虫剂、杀菌剂及农药增效助剂，实现防病、防虫、提质增产和农药减量增效。</w:t>
      </w:r>
    </w:p>
    <w:p>
      <w:pPr>
        <w:ind w:firstLine="640" w:firstLineChars="200"/>
        <w:rPr>
          <w:rFonts w:hint="eastAsia" w:ascii="仿宋" w:hAnsi="仿宋" w:eastAsia="仿宋" w:cs="仿宋"/>
          <w:sz w:val="32"/>
          <w:szCs w:val="32"/>
          <w:highlight w:val="none"/>
        </w:rPr>
      </w:pPr>
      <w:r>
        <w:rPr>
          <w:rFonts w:hint="eastAsia" w:ascii="仿宋" w:hAnsi="仿宋" w:eastAsia="仿宋" w:cs="仿宋"/>
          <w:sz w:val="32"/>
          <w:szCs w:val="32"/>
        </w:rPr>
        <w:t>3、</w:t>
      </w:r>
      <w:r>
        <w:rPr>
          <w:rFonts w:hint="eastAsia" w:ascii="仿宋" w:hAnsi="仿宋" w:eastAsia="仿宋" w:cs="仿宋"/>
          <w:sz w:val="32"/>
          <w:szCs w:val="32"/>
          <w:highlight w:val="none"/>
        </w:rPr>
        <w:t>及时组织统防统治。</w:t>
      </w:r>
      <w:r>
        <w:rPr>
          <w:rFonts w:hint="eastAsia" w:ascii="仿宋" w:hAnsi="仿宋" w:eastAsia="仿宋" w:cs="仿宋"/>
          <w:sz w:val="32"/>
          <w:szCs w:val="32"/>
          <w:highlight w:val="none"/>
          <w:lang w:val="en-US" w:eastAsia="zh-CN"/>
        </w:rPr>
        <w:t>由于资金有限，</w:t>
      </w:r>
      <w:r>
        <w:rPr>
          <w:rFonts w:hint="eastAsia" w:ascii="仿宋" w:hAnsi="仿宋" w:eastAsia="仿宋" w:cs="仿宋"/>
          <w:sz w:val="32"/>
          <w:szCs w:val="32"/>
          <w:highlight w:val="none"/>
        </w:rPr>
        <w:t>采用统一采购药剂</w:t>
      </w:r>
      <w:r>
        <w:rPr>
          <w:rFonts w:hint="eastAsia" w:ascii="仿宋" w:hAnsi="仿宋" w:eastAsia="仿宋" w:cs="仿宋"/>
          <w:sz w:val="32"/>
          <w:szCs w:val="32"/>
          <w:highlight w:val="none"/>
          <w:lang w:val="en-US" w:eastAsia="zh-CN"/>
        </w:rPr>
        <w:t>统一</w:t>
      </w:r>
      <w:r>
        <w:rPr>
          <w:rFonts w:hint="eastAsia" w:ascii="仿宋" w:hAnsi="仿宋" w:eastAsia="仿宋" w:cs="仿宋"/>
          <w:sz w:val="32"/>
          <w:szCs w:val="32"/>
          <w:highlight w:val="none"/>
        </w:rPr>
        <w:t>发放</w:t>
      </w:r>
      <w:r>
        <w:rPr>
          <w:rFonts w:hint="eastAsia" w:ascii="仿宋" w:hAnsi="仿宋" w:eastAsia="仿宋" w:cs="仿宋"/>
          <w:sz w:val="32"/>
          <w:szCs w:val="32"/>
          <w:highlight w:val="none"/>
          <w:lang w:val="en-US" w:eastAsia="zh-CN"/>
        </w:rPr>
        <w:t>的方式</w:t>
      </w:r>
      <w:r>
        <w:rPr>
          <w:rFonts w:hint="eastAsia" w:ascii="仿宋" w:hAnsi="仿宋" w:eastAsia="仿宋" w:cs="仿宋"/>
          <w:sz w:val="32"/>
          <w:szCs w:val="32"/>
          <w:highlight w:val="none"/>
        </w:rPr>
        <w:t>，让合作社、新型经营主体种植大户等进行自己防治，积极鼓励农户参与统防。航化作业应科学合理添加航化专用助剂，每亩喷液量应保证3升以上。在统防统治中，积极示范应用智能化性信息素迷向技术等先进植保技术，并加大示范宣传和展示力度，促进植保新技术措施落实到田。同时各镇应积极宣传鼓励新型农业生产经营主体开展统防统治，扩大全市统防面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提升田间施药作业能力水平。为提升防控施药水平和应急防控基础能力，促进农药减量增效和单产提升，配备风幕式喷杆喷雾机一台。同时，加强风幕式喷杆喷雾机和减增效规范施药技术的田间培训和示范展示，推动施药技术水平不断提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四、资金支出方向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根据项目资金使用要求，针对我市农作物重大病虫疫情发生实际情况和防控工作需要，2025年项目资金使用方向</w:t>
      </w:r>
    </w:p>
    <w:p>
      <w:pPr>
        <w:rPr>
          <w:rFonts w:hint="eastAsia" w:ascii="仿宋" w:hAnsi="仿宋" w:eastAsia="仿宋" w:cs="仿宋"/>
          <w:sz w:val="32"/>
          <w:szCs w:val="32"/>
        </w:rPr>
      </w:pPr>
      <w:r>
        <w:rPr>
          <w:rFonts w:hint="eastAsia" w:ascii="仿宋" w:hAnsi="仿宋" w:eastAsia="仿宋" w:cs="仿宋"/>
          <w:sz w:val="32"/>
          <w:szCs w:val="32"/>
        </w:rPr>
        <w:t>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重大病虫疫情防控补助。资金主要用于统防统治所需的购买药剂（药械）费、施药作业费、物资材料费、劳务费、植物疫情扑灭处置费，防控设施设备维护费（含更换喷头、修复诱虫灯等）和保险费，以及防控技术指导费、技术应用费等其它符合规定的费用支出。技术指导和技术应用费是指开展农作物病虫疫情田间监测和防控调查指导、防控技术试验示范应用、病虫疫情检验鉴定、防效调查评估、防控技术宣传及组织和参加相关技术培训等方面支出，住宿、交通、伙食补助等差旅费用按我市财政部门管理规定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2、重大病虫疫情监测补助。资金主要用于</w:t>
      </w:r>
      <w:r>
        <w:rPr>
          <w:rFonts w:hint="eastAsia" w:ascii="仿宋" w:hAnsi="仿宋" w:eastAsia="仿宋" w:cs="仿宋"/>
          <w:sz w:val="32"/>
          <w:szCs w:val="32"/>
          <w:lang w:val="en-US" w:eastAsia="zh-CN"/>
        </w:rPr>
        <w:t>173</w:t>
      </w:r>
      <w:r>
        <w:rPr>
          <w:rFonts w:hint="eastAsia" w:ascii="仿宋" w:hAnsi="仿宋" w:eastAsia="仿宋" w:cs="仿宋"/>
          <w:sz w:val="32"/>
          <w:szCs w:val="32"/>
        </w:rPr>
        <w:t>个病虫疫情监测点兼职植保员田间调查补助及购买意外伤害保险、防护服和防护用品等费用；组织开展监测点植保员培训所需的交通、食宿、资料、田间指导及聘请讲师等费用；维修维护监测设备正常运行及所需的用电、消耗材料及其它开展预</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测预报工作的必要支出，包括购买重大害虫性诱捕器和诱芯、物联网设备流量费等费用；县级专业技术人员开展田间病虫疫情调查监测的交通、伙食补助及参加相关专业培训等费用</w:t>
      </w:r>
      <w:r>
        <w:rPr>
          <w:rFonts w:hint="eastAsia" w:ascii="仿宋" w:hAnsi="仿宋" w:eastAsia="仿宋" w:cs="仿宋"/>
          <w:sz w:val="32"/>
          <w:szCs w:val="32"/>
          <w:lang w:eastAsia="zh-CN"/>
        </w:rPr>
        <w:t>，</w:t>
      </w:r>
      <w:r>
        <w:rPr>
          <w:rFonts w:hint="eastAsia" w:ascii="仿宋" w:hAnsi="仿宋" w:eastAsia="仿宋" w:cs="仿宋"/>
          <w:sz w:val="32"/>
          <w:szCs w:val="32"/>
        </w:rPr>
        <w:t>按我市财政部门管理规定执行。植保员意外伤害保险的保障额度不低于10万元、意外医疗保险的保障额度不低于3万</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五、监督管理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1、确保资金安全规范使用。项目由</w:t>
      </w:r>
      <w:r>
        <w:rPr>
          <w:rFonts w:hint="eastAsia" w:ascii="仿宋" w:hAnsi="仿宋" w:eastAsia="仿宋" w:cs="仿宋"/>
          <w:sz w:val="32"/>
          <w:szCs w:val="32"/>
          <w:lang w:val="en-US" w:eastAsia="zh-CN"/>
        </w:rPr>
        <w:t>抚远</w:t>
      </w:r>
      <w:r>
        <w:rPr>
          <w:rFonts w:hint="eastAsia" w:ascii="仿宋" w:hAnsi="仿宋" w:eastAsia="仿宋" w:cs="仿宋"/>
          <w:sz w:val="32"/>
          <w:szCs w:val="32"/>
        </w:rPr>
        <w:t>市农业技术推广中心负责组织，各镇人民政府及相关部门配合实施。按照属地管理原则，市农业农村局对项目总体运行进行监督管理，确保各项工作任务按照绩效目标和技术要求落实落靠，规范使用并及时支付项目资金。按照《黑龙江省农业防灾减灾和水利救灾资金管理暂行办法》和本实施方案要求，结合我市实际，强化措施，保障各项任务目标落实到位，并严格落实信息公开制度。</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确保统防药剂质量。统防统治所用药剂的供货单位应具有农药经营许可资格，药剂需符合国家农药管理和使用规定及本实施方案要求，且应是经我省植保部门试验示范或在我省大面积应用的，安全、绿色、环保、高效的农药产品。防控药剂供货单位应提供第三方出具的农药质量检测报告。不合格产品将按合同约定做赔偿处理，造成生产损失的，供货单位要承担相应赔偿责任，并依法依规予以处罚。</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认真做好项目总结。项目实施过程中，项目实施单位要及时规范做好实施方案、集体决策纪要、采购合同及发票、作业质量验收报告、生产经营主体签字确认单以及实施方案信息公开等相关工作材料的留存，认真做好项目总结和绩效自评工作，及时完成农业农村部转移支付资金管理平台网上填报。各镇应组织农业技术人员及村负责人进行镇、村级项目验收，配合项目实施单位完成相关工作材料的形成。工作总结报告和绩效自评报告、绩效自评表须在2025年11月底前完成。</w:t>
      </w:r>
    </w:p>
    <w:p>
      <w:pPr>
        <w:pStyle w:val="2"/>
        <w:spacing w:line="268" w:lineRule="auto"/>
        <w:rPr>
          <w:rFonts w:hint="eastAsia" w:ascii="仿宋" w:hAnsi="仿宋" w:eastAsia="仿宋" w:cs="仿宋"/>
          <w:sz w:val="32"/>
          <w:szCs w:val="32"/>
        </w:rPr>
      </w:pPr>
    </w:p>
    <w:p>
      <w:pPr>
        <w:pStyle w:val="2"/>
        <w:spacing w:line="268" w:lineRule="auto"/>
        <w:ind w:left="5120" w:hanging="5120" w:hangingChars="16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spacing w:line="268" w:lineRule="auto"/>
        <w:ind w:left="960" w:hanging="960" w:hanging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附件：1、2025年抚远市农作物重大病虫害防控项目资金分配明细表 </w:t>
      </w:r>
    </w:p>
    <w:p>
      <w:pPr>
        <w:pStyle w:val="2"/>
        <w:spacing w:line="268" w:lineRule="auto"/>
        <w:ind w:firstLine="960" w:firstLineChars="300"/>
        <w:rPr>
          <w:rFonts w:ascii="宋体" w:hAnsi="宋体" w:eastAsia="宋体" w:cs="宋体"/>
          <w:b/>
          <w:bCs/>
          <w:spacing w:val="-16"/>
          <w:sz w:val="32"/>
          <w:szCs w:val="32"/>
        </w:rPr>
      </w:pPr>
      <w:r>
        <w:rPr>
          <w:rFonts w:hint="eastAsia" w:ascii="仿宋" w:hAnsi="仿宋" w:eastAsia="仿宋" w:cs="仿宋"/>
          <w:sz w:val="32"/>
          <w:szCs w:val="32"/>
          <w:lang w:val="en-US" w:eastAsia="zh-CN"/>
        </w:rPr>
        <w:t xml:space="preserve">2、2025年中央农业防灾减灾资金绩效目标自评表 </w:t>
      </w: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ind w:left="150"/>
        <w:rPr>
          <w:rFonts w:ascii="宋体" w:hAnsi="宋体" w:eastAsia="宋体" w:cs="宋体"/>
          <w:b/>
          <w:bCs/>
          <w:spacing w:val="-16"/>
          <w:sz w:val="32"/>
          <w:szCs w:val="32"/>
        </w:rPr>
      </w:pPr>
    </w:p>
    <w:p>
      <w:pPr>
        <w:spacing w:before="104" w:line="220" w:lineRule="auto"/>
        <w:rPr>
          <w:rFonts w:ascii="宋体" w:hAnsi="宋体" w:eastAsia="宋体" w:cs="宋体"/>
          <w:b/>
          <w:bCs/>
          <w:spacing w:val="-16"/>
          <w:sz w:val="32"/>
          <w:szCs w:val="32"/>
        </w:rPr>
      </w:pPr>
    </w:p>
    <w:p>
      <w:pPr>
        <w:spacing w:before="104" w:line="220" w:lineRule="auto"/>
        <w:ind w:left="150"/>
        <w:rPr>
          <w:rFonts w:ascii="宋体" w:hAnsi="宋体" w:eastAsia="宋体" w:cs="宋体"/>
          <w:sz w:val="32"/>
          <w:szCs w:val="32"/>
        </w:rPr>
      </w:pPr>
      <w:r>
        <w:rPr>
          <w:rFonts w:ascii="宋体" w:hAnsi="宋体" w:eastAsia="宋体" w:cs="宋体"/>
          <w:b/>
          <w:bCs/>
          <w:spacing w:val="-16"/>
          <w:sz w:val="32"/>
          <w:szCs w:val="32"/>
        </w:rPr>
        <w:t>附件</w:t>
      </w:r>
      <w:r>
        <w:rPr>
          <w:rFonts w:ascii="宋体" w:hAnsi="宋体" w:eastAsia="宋体" w:cs="宋体"/>
          <w:spacing w:val="-56"/>
          <w:sz w:val="32"/>
          <w:szCs w:val="32"/>
        </w:rPr>
        <w:t xml:space="preserve"> </w:t>
      </w:r>
      <w:r>
        <w:rPr>
          <w:rFonts w:ascii="宋体" w:hAnsi="宋体" w:eastAsia="宋体" w:cs="宋体"/>
          <w:b/>
          <w:bCs/>
          <w:spacing w:val="-16"/>
          <w:sz w:val="32"/>
          <w:szCs w:val="32"/>
        </w:rPr>
        <w:t>1</w:t>
      </w:r>
    </w:p>
    <w:p>
      <w:pPr>
        <w:spacing w:before="222" w:line="277" w:lineRule="auto"/>
        <w:ind w:left="3028" w:right="966" w:hanging="2043"/>
        <w:outlineLvl w:val="0"/>
        <w:rPr>
          <w:rFonts w:ascii="宋体" w:hAnsi="宋体" w:eastAsia="宋体" w:cs="宋体"/>
          <w:b/>
          <w:bCs/>
          <w:spacing w:val="4"/>
          <w:sz w:val="35"/>
          <w:szCs w:val="35"/>
        </w:rPr>
      </w:pPr>
      <w:r>
        <w:rPr>
          <w:rFonts w:ascii="宋体" w:hAnsi="宋体" w:eastAsia="宋体" w:cs="宋体"/>
          <w:b/>
          <w:bCs/>
          <w:spacing w:val="4"/>
          <w:sz w:val="35"/>
          <w:szCs w:val="35"/>
        </w:rPr>
        <w:t>2025</w:t>
      </w:r>
      <w:r>
        <w:rPr>
          <w:rFonts w:ascii="宋体" w:hAnsi="宋体" w:eastAsia="宋体" w:cs="宋体"/>
          <w:spacing w:val="-53"/>
          <w:sz w:val="35"/>
          <w:szCs w:val="35"/>
        </w:rPr>
        <w:t xml:space="preserve"> </w:t>
      </w:r>
      <w:r>
        <w:rPr>
          <w:rFonts w:ascii="宋体" w:hAnsi="宋体" w:eastAsia="宋体" w:cs="宋体"/>
          <w:b/>
          <w:bCs/>
          <w:spacing w:val="4"/>
          <w:sz w:val="35"/>
          <w:szCs w:val="35"/>
        </w:rPr>
        <w:t>年</w:t>
      </w:r>
      <w:r>
        <w:rPr>
          <w:rFonts w:hint="eastAsia" w:ascii="宋体" w:hAnsi="宋体" w:eastAsia="宋体" w:cs="宋体"/>
          <w:b/>
          <w:bCs/>
          <w:spacing w:val="4"/>
          <w:sz w:val="35"/>
          <w:szCs w:val="35"/>
          <w:lang w:val="en-US" w:eastAsia="zh-CN"/>
        </w:rPr>
        <w:t>抚远</w:t>
      </w:r>
      <w:r>
        <w:rPr>
          <w:rFonts w:ascii="宋体" w:hAnsi="宋体" w:eastAsia="宋体" w:cs="宋体"/>
          <w:b/>
          <w:bCs/>
          <w:spacing w:val="4"/>
          <w:sz w:val="35"/>
          <w:szCs w:val="35"/>
        </w:rPr>
        <w:t>市农作物重大病虫害防控</w:t>
      </w:r>
    </w:p>
    <w:p>
      <w:pPr>
        <w:spacing w:before="222" w:line="277" w:lineRule="auto"/>
        <w:ind w:left="3028" w:right="966" w:hanging="2043"/>
        <w:jc w:val="center"/>
        <w:outlineLvl w:val="0"/>
        <w:rPr>
          <w:rFonts w:ascii="宋体" w:hAnsi="宋体" w:eastAsia="宋体" w:cs="宋体"/>
          <w:sz w:val="35"/>
          <w:szCs w:val="35"/>
        </w:rPr>
      </w:pPr>
      <w:r>
        <w:rPr>
          <w:rFonts w:ascii="宋体" w:hAnsi="宋体" w:eastAsia="宋体" w:cs="宋体"/>
          <w:b/>
          <w:bCs/>
          <w:spacing w:val="4"/>
          <w:sz w:val="35"/>
          <w:szCs w:val="35"/>
        </w:rPr>
        <w:t>项目</w:t>
      </w:r>
      <w:r>
        <w:rPr>
          <w:rFonts w:ascii="宋体" w:hAnsi="宋体" w:eastAsia="宋体" w:cs="宋体"/>
          <w:b/>
          <w:bCs/>
          <w:spacing w:val="3"/>
          <w:sz w:val="35"/>
          <w:szCs w:val="35"/>
        </w:rPr>
        <w:t>资金分配明细表</w:t>
      </w:r>
    </w:p>
    <w:p>
      <w:pPr>
        <w:spacing w:line="65" w:lineRule="exact"/>
      </w:pPr>
    </w:p>
    <w:tbl>
      <w:tblPr>
        <w:tblStyle w:val="6"/>
        <w:tblW w:w="852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36"/>
        <w:gridCol w:w="378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736" w:type="dxa"/>
            <w:vAlign w:val="top"/>
          </w:tcPr>
          <w:p>
            <w:pPr>
              <w:pStyle w:val="5"/>
              <w:spacing w:before="176" w:line="222" w:lineRule="auto"/>
              <w:ind w:left="1823"/>
            </w:pPr>
            <w:r>
              <w:rPr>
                <w:b/>
                <w:bCs/>
                <w:spacing w:val="-7"/>
              </w:rPr>
              <w:t>任务清单</w:t>
            </w:r>
          </w:p>
        </w:tc>
        <w:tc>
          <w:tcPr>
            <w:tcW w:w="3787" w:type="dxa"/>
            <w:vAlign w:val="top"/>
          </w:tcPr>
          <w:p>
            <w:pPr>
              <w:pStyle w:val="5"/>
              <w:spacing w:before="176" w:line="224" w:lineRule="auto"/>
              <w:ind w:left="1066"/>
            </w:pPr>
            <w:r>
              <w:rPr>
                <w:b/>
                <w:bCs/>
                <w:spacing w:val="-6"/>
              </w:rPr>
              <w:t>金额（万元）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trPr>
        <w:tc>
          <w:tcPr>
            <w:tcW w:w="4736" w:type="dxa"/>
            <w:vAlign w:val="top"/>
          </w:tcPr>
          <w:p>
            <w:pPr>
              <w:pStyle w:val="5"/>
              <w:spacing w:before="172" w:line="368" w:lineRule="exact"/>
              <w:ind w:left="986"/>
            </w:pPr>
            <w:r>
              <w:rPr>
                <w:spacing w:val="-3"/>
                <w:position w:val="1"/>
              </w:rPr>
              <w:t>病虫疫情监测点</w:t>
            </w:r>
            <w:r>
              <w:rPr>
                <w:rFonts w:hint="eastAsia" w:ascii="Times New Roman" w:hAnsi="Times New Roman" w:eastAsia="宋体" w:cs="Times New Roman"/>
                <w:spacing w:val="-6"/>
                <w:position w:val="1"/>
                <w:lang w:val="en-US" w:eastAsia="zh-CN"/>
              </w:rPr>
              <w:t>173</w:t>
            </w:r>
            <w:r>
              <w:rPr>
                <w:spacing w:val="-3"/>
                <w:position w:val="1"/>
              </w:rPr>
              <w:t>个</w:t>
            </w:r>
          </w:p>
        </w:tc>
        <w:tc>
          <w:tcPr>
            <w:tcW w:w="3787" w:type="dxa"/>
            <w:vAlign w:val="top"/>
          </w:tcPr>
          <w:p>
            <w:pPr>
              <w:spacing w:before="172" w:line="368" w:lineRule="exact"/>
              <w:ind w:left="1536"/>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pacing w:val="-6"/>
                <w:position w:val="2"/>
                <w:sz w:val="28"/>
                <w:szCs w:val="28"/>
                <w:lang w:val="en-US" w:eastAsia="zh-CN"/>
              </w:rPr>
              <w:t>102.07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trPr>
        <w:tc>
          <w:tcPr>
            <w:tcW w:w="4736" w:type="dxa"/>
            <w:vAlign w:val="top"/>
          </w:tcPr>
          <w:p>
            <w:pPr>
              <w:pStyle w:val="5"/>
              <w:spacing w:before="131" w:line="369" w:lineRule="exact"/>
              <w:ind w:left="399"/>
            </w:pPr>
            <w:r>
              <w:rPr>
                <w:spacing w:val="-4"/>
                <w:position w:val="1"/>
              </w:rPr>
              <w:t>重大病虫疫情统防统治</w:t>
            </w:r>
            <w:r>
              <w:rPr>
                <w:rFonts w:hint="eastAsia" w:ascii="Times New Roman" w:hAnsi="Times New Roman" w:eastAsia="宋体" w:cs="Times New Roman"/>
                <w:spacing w:val="-6"/>
                <w:position w:val="1"/>
                <w:lang w:val="en-US" w:eastAsia="zh-CN"/>
              </w:rPr>
              <w:t>1.9</w:t>
            </w:r>
            <w:r>
              <w:rPr>
                <w:rFonts w:hint="eastAsia"/>
                <w:spacing w:val="-4"/>
                <w:position w:val="1"/>
                <w:lang w:val="en-US" w:eastAsia="zh-CN"/>
              </w:rPr>
              <w:t>万</w:t>
            </w:r>
            <w:r>
              <w:rPr>
                <w:spacing w:val="-4"/>
                <w:position w:val="1"/>
              </w:rPr>
              <w:t>亩</w:t>
            </w:r>
          </w:p>
          <w:p>
            <w:pPr>
              <w:pStyle w:val="5"/>
              <w:spacing w:before="299" w:line="223" w:lineRule="auto"/>
              <w:ind w:left="146"/>
            </w:pPr>
            <w:r>
              <w:rPr>
                <w:spacing w:val="-4"/>
              </w:rPr>
              <w:t>（含稻水象甲</w:t>
            </w:r>
            <w:r>
              <w:rPr>
                <w:rFonts w:hint="eastAsia"/>
                <w:spacing w:val="-4"/>
                <w:lang w:val="en-US" w:eastAsia="zh-CN"/>
              </w:rPr>
              <w:t>及马铃薯甲虫</w:t>
            </w:r>
            <w:r>
              <w:rPr>
                <w:spacing w:val="-4"/>
              </w:rPr>
              <w:t>疫情统防统治</w:t>
            </w:r>
            <w:r>
              <w:rPr>
                <w:rFonts w:hint="eastAsia"/>
                <w:spacing w:val="-4"/>
                <w:lang w:val="en-US" w:eastAsia="zh-CN"/>
              </w:rPr>
              <w:t>775亩</w:t>
            </w:r>
            <w:r>
              <w:rPr>
                <w:spacing w:val="-4"/>
              </w:rPr>
              <w:t>）</w:t>
            </w:r>
          </w:p>
        </w:tc>
        <w:tc>
          <w:tcPr>
            <w:tcW w:w="3787" w:type="dxa"/>
            <w:vAlign w:val="top"/>
          </w:tcPr>
          <w:p>
            <w:pPr>
              <w:spacing w:line="361" w:lineRule="auto"/>
              <w:rPr>
                <w:rFonts w:ascii="Arial"/>
                <w:sz w:val="21"/>
              </w:rPr>
            </w:pPr>
          </w:p>
          <w:p>
            <w:pPr>
              <w:spacing w:before="80" w:line="369" w:lineRule="exact"/>
              <w:ind w:left="1658"/>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736" w:type="dxa"/>
            <w:vAlign w:val="top"/>
          </w:tcPr>
          <w:p>
            <w:pPr>
              <w:pStyle w:val="5"/>
              <w:spacing w:before="133" w:line="369" w:lineRule="exact"/>
              <w:ind w:firstLine="536" w:firstLineChars="200"/>
            </w:pPr>
            <w:r>
              <w:rPr>
                <w:spacing w:val="-6"/>
                <w:position w:val="1"/>
              </w:rPr>
              <w:t>风幕式喷杆喷雾机</w:t>
            </w:r>
            <w:r>
              <w:rPr>
                <w:spacing w:val="-33"/>
                <w:position w:val="1"/>
              </w:rPr>
              <w:t xml:space="preserve"> </w:t>
            </w:r>
            <w:r>
              <w:rPr>
                <w:rFonts w:hint="eastAsia" w:ascii="Times New Roman" w:hAnsi="Times New Roman" w:eastAsia="宋体" w:cs="Times New Roman"/>
                <w:spacing w:val="-6"/>
                <w:position w:val="1"/>
                <w:lang w:val="en-US" w:eastAsia="zh-CN"/>
              </w:rPr>
              <w:t>1</w:t>
            </w:r>
            <w:r>
              <w:rPr>
                <w:spacing w:val="-6"/>
                <w:position w:val="1"/>
              </w:rPr>
              <w:t>台</w:t>
            </w:r>
          </w:p>
        </w:tc>
        <w:tc>
          <w:tcPr>
            <w:tcW w:w="3787" w:type="dxa"/>
            <w:vAlign w:val="top"/>
          </w:tcPr>
          <w:p>
            <w:pPr>
              <w:spacing w:before="133" w:line="369" w:lineRule="exact"/>
              <w:ind w:left="1754"/>
              <w:rPr>
                <w:rFonts w:hint="default" w:ascii="Times New Roman" w:hAnsi="Times New Roman" w:eastAsia="宋体" w:cs="Times New Roman"/>
                <w:sz w:val="28"/>
                <w:szCs w:val="28"/>
                <w:lang w:val="en-US" w:eastAsia="zh-CN"/>
              </w:rPr>
            </w:pPr>
            <w:r>
              <w:rPr>
                <w:rFonts w:ascii="Times New Roman" w:hAnsi="Times New Roman" w:eastAsia="Times New Roman" w:cs="Times New Roman"/>
                <w:spacing w:val="-2"/>
                <w:position w:val="2"/>
                <w:sz w:val="28"/>
                <w:szCs w:val="28"/>
              </w:rPr>
              <w:t>2</w:t>
            </w:r>
            <w:r>
              <w:rPr>
                <w:rFonts w:hint="eastAsia" w:ascii="Times New Roman" w:hAnsi="Times New Roman" w:eastAsia="宋体" w:cs="Times New Roman"/>
                <w:spacing w:val="-2"/>
                <w:position w:val="2"/>
                <w:sz w:val="28"/>
                <w:szCs w:val="28"/>
                <w:lang w:val="en-US" w:eastAsia="zh-CN"/>
              </w:rPr>
              <w:t>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736" w:type="dxa"/>
            <w:vAlign w:val="top"/>
          </w:tcPr>
          <w:p>
            <w:pPr>
              <w:pStyle w:val="5"/>
              <w:spacing w:before="177" w:line="223" w:lineRule="auto"/>
              <w:ind w:left="2114"/>
            </w:pPr>
            <w:r>
              <w:rPr>
                <w:spacing w:val="-13"/>
              </w:rPr>
              <w:t>合计</w:t>
            </w:r>
          </w:p>
        </w:tc>
        <w:tc>
          <w:tcPr>
            <w:tcW w:w="3787" w:type="dxa"/>
            <w:vAlign w:val="top"/>
          </w:tcPr>
          <w:p>
            <w:pPr>
              <w:spacing w:before="134" w:line="368" w:lineRule="exact"/>
              <w:ind w:left="1509"/>
              <w:rPr>
                <w:rFonts w:hint="default" w:ascii="Times New Roman" w:hAnsi="Times New Roman" w:eastAsia="宋体" w:cs="Times New Roman"/>
                <w:sz w:val="28"/>
                <w:szCs w:val="28"/>
                <w:lang w:val="en-US" w:eastAsia="zh-CN"/>
              </w:rPr>
            </w:pPr>
            <w:r>
              <w:rPr>
                <w:rFonts w:hint="eastAsia" w:ascii="Times New Roman" w:hAnsi="Times New Roman" w:eastAsia="宋体" w:cs="Times New Roman"/>
                <w:spacing w:val="-1"/>
                <w:position w:val="2"/>
                <w:sz w:val="28"/>
                <w:szCs w:val="28"/>
                <w:lang w:val="en-US" w:eastAsia="zh-CN"/>
              </w:rPr>
              <w:t>142.4</w:t>
            </w:r>
          </w:p>
        </w:tc>
      </w:tr>
    </w:tbl>
    <w:p/>
    <w:p>
      <w:pPr>
        <w:bidi w:val="0"/>
        <w:rPr>
          <w:rFonts w:asciiTheme="minorHAnsi" w:hAnsiTheme="minorHAnsi" w:eastAsiaTheme="minorEastAsia" w:cstheme="minorBidi"/>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spacing w:before="104" w:line="220" w:lineRule="auto"/>
        <w:ind w:left="150"/>
        <w:rPr>
          <w:rFonts w:hint="eastAsia" w:ascii="宋体" w:hAnsi="宋体" w:eastAsia="宋体" w:cs="宋体"/>
          <w:b/>
          <w:bCs/>
          <w:spacing w:val="-16"/>
          <w:sz w:val="32"/>
          <w:szCs w:val="32"/>
          <w:lang w:val="en-US" w:eastAsia="zh-CN"/>
        </w:rPr>
      </w:pPr>
    </w:p>
    <w:p>
      <w:pPr>
        <w:spacing w:before="104" w:line="220" w:lineRule="auto"/>
        <w:ind w:left="150"/>
        <w:rPr>
          <w:lang w:val="en-US" w:eastAsia="zh-CN"/>
        </w:rPr>
      </w:pPr>
      <w:r>
        <w:rPr>
          <w:rFonts w:hint="eastAsia" w:ascii="宋体" w:hAnsi="宋体" w:eastAsia="宋体" w:cs="宋体"/>
          <w:b/>
          <w:bCs/>
          <w:spacing w:val="-16"/>
          <w:sz w:val="32"/>
          <w:szCs w:val="32"/>
          <w:lang w:val="en-US" w:eastAsia="zh-CN"/>
        </w:rPr>
        <w:t>附件2</w:t>
      </w:r>
    </w:p>
    <w:p>
      <w:pPr>
        <w:spacing w:before="222" w:line="277" w:lineRule="auto"/>
        <w:ind w:left="3028" w:right="966" w:hanging="2043"/>
        <w:outlineLvl w:val="0"/>
        <w:rPr>
          <w:rFonts w:ascii="宋体" w:hAnsi="宋体" w:eastAsia="宋体" w:cs="宋体"/>
          <w:b/>
          <w:bCs/>
          <w:spacing w:val="4"/>
          <w:sz w:val="35"/>
          <w:szCs w:val="35"/>
          <w:lang w:val="en-US" w:eastAsia="zh-CN"/>
        </w:rPr>
      </w:pPr>
      <w:r>
        <w:rPr>
          <w:rFonts w:hint="eastAsia" w:ascii="宋体" w:hAnsi="宋体" w:eastAsia="宋体" w:cs="宋体"/>
          <w:b/>
          <w:bCs/>
          <w:spacing w:val="4"/>
          <w:sz w:val="35"/>
          <w:szCs w:val="35"/>
          <w:lang w:val="en-US" w:eastAsia="zh-CN"/>
        </w:rPr>
        <w:t>2025年中央农业防灾减灾资金绩效目标自评表</w:t>
      </w:r>
    </w:p>
    <w:tbl>
      <w:tblPr>
        <w:tblStyle w:val="3"/>
        <w:tblW w:w="0" w:type="auto"/>
        <w:tblInd w:w="0" w:type="dxa"/>
        <w:tblLayout w:type="fixed"/>
        <w:tblCellMar>
          <w:top w:w="0" w:type="dxa"/>
          <w:left w:w="10" w:type="dxa"/>
          <w:bottom w:w="0" w:type="dxa"/>
          <w:right w:w="10" w:type="dxa"/>
        </w:tblCellMar>
      </w:tblPr>
      <w:tblGrid>
        <w:gridCol w:w="679"/>
        <w:gridCol w:w="1723"/>
        <w:gridCol w:w="1702"/>
        <w:gridCol w:w="1851"/>
        <w:gridCol w:w="1959"/>
        <w:gridCol w:w="1265"/>
        <w:gridCol w:w="1409"/>
      </w:tblGrid>
      <w:tr>
        <w:tblPrEx>
          <w:tblCellMar>
            <w:top w:w="0" w:type="dxa"/>
            <w:left w:w="10" w:type="dxa"/>
            <w:bottom w:w="0" w:type="dxa"/>
            <w:right w:w="10" w:type="dxa"/>
          </w:tblCellMar>
        </w:tblPrEx>
        <w:trPr>
          <w:trHeight w:val="345" w:hRule="exact"/>
        </w:trPr>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资金(专项)名称</w:t>
            </w:r>
          </w:p>
        </w:tc>
        <w:tc>
          <w:tcPr>
            <w:gridSpan w:val="5"/>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农业防灾减灾和水利救灾资金(农作物重大病虫害防控)</w:t>
            </w:r>
          </w:p>
        </w:tc>
      </w:tr>
      <w:tr>
        <w:tblPrEx>
          <w:tblCellMar>
            <w:top w:w="0" w:type="dxa"/>
            <w:left w:w="10" w:type="dxa"/>
            <w:bottom w:w="0" w:type="dxa"/>
            <w:right w:w="10" w:type="dxa"/>
          </w:tblCellMar>
        </w:tblPrEx>
        <w:trPr>
          <w:trHeight w:val="293" w:hRule="exact"/>
        </w:trPr>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中央主管部门</w:t>
            </w:r>
          </w:p>
        </w:tc>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农业农村部</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专项实施期</w:t>
            </w:r>
          </w:p>
        </w:tc>
        <w:tc>
          <w:tcPr>
            <w:gridSpan w:val="2"/>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长期</w:t>
            </w:r>
          </w:p>
        </w:tc>
      </w:tr>
      <w:tr>
        <w:tblPrEx>
          <w:tblCellMar>
            <w:top w:w="0" w:type="dxa"/>
            <w:left w:w="10" w:type="dxa"/>
            <w:bottom w:w="0" w:type="dxa"/>
            <w:right w:w="10" w:type="dxa"/>
          </w:tblCellMar>
        </w:tblPrEx>
        <w:trPr>
          <w:trHeight w:val="288" w:hRule="exact"/>
        </w:trPr>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省级财政部门</w:t>
            </w:r>
          </w:p>
        </w:tc>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省财政厅</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省级主管部门</w:t>
            </w:r>
          </w:p>
        </w:tc>
        <w:tc>
          <w:tcPr>
            <w:gridSpan w:val="2"/>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省农业农村厅</w:t>
            </w:r>
          </w:p>
        </w:tc>
      </w:tr>
      <w:tr>
        <w:tblPrEx>
          <w:tblCellMar>
            <w:top w:w="0" w:type="dxa"/>
            <w:left w:w="10" w:type="dxa"/>
            <w:bottom w:w="0" w:type="dxa"/>
            <w:right w:w="10" w:type="dxa"/>
          </w:tblCellMar>
        </w:tblPrEx>
        <w:trPr>
          <w:trHeight w:val="288" w:hRule="exact"/>
        </w:trPr>
        <w:tc>
          <w:tcPr>
            <w:gridSpan w:val="2"/>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rPr>
                <w:rFonts w:hint="eastAsia" w:eastAsia="宋体"/>
                <w:lang w:eastAsia="zh-CN"/>
              </w:rPr>
            </w:pPr>
            <w:r>
              <w:rPr>
                <w:color w:val="000000"/>
                <w:spacing w:val="0"/>
                <w:w w:val="100"/>
                <w:position w:val="0"/>
              </w:rPr>
              <w:t>全年预算数</w:t>
            </w:r>
            <w:r>
              <w:rPr>
                <w:rFonts w:hint="eastAsia"/>
                <w:color w:val="000000"/>
                <w:spacing w:val="0"/>
                <w:w w:val="100"/>
                <w:position w:val="0"/>
                <w:lang w:eastAsia="zh-CN"/>
              </w:rPr>
              <w:t>（</w:t>
            </w:r>
            <w:r>
              <w:rPr>
                <w:rFonts w:ascii="Times New Roman" w:hAnsi="Times New Roman" w:eastAsia="Times New Roman" w:cs="Times New Roman"/>
                <w:color w:val="000000"/>
                <w:spacing w:val="0"/>
                <w:w w:val="100"/>
                <w:position w:val="0"/>
              </w:rPr>
              <w:t>A</w:t>
            </w:r>
            <w:r>
              <w:rPr>
                <w:rFonts w:hint="eastAsia" w:ascii="Times New Roman" w:hAnsi="Times New Roman" w:eastAsia="宋体" w:cs="Times New Roman"/>
                <w:color w:val="000000"/>
                <w:spacing w:val="0"/>
                <w:w w:val="100"/>
                <w:position w:val="0"/>
                <w:lang w:eastAsia="zh-CN"/>
              </w:rPr>
              <w:t>）</w:t>
            </w:r>
            <w:bookmarkStart w:id="0" w:name="_GoBack"/>
            <w:bookmarkEnd w:id="0"/>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rPr>
                <w:rFonts w:hint="eastAsia" w:eastAsia="宋体"/>
                <w:lang w:val="en-US" w:eastAsia="zh-CN"/>
              </w:rPr>
            </w:pPr>
            <w:r>
              <w:rPr>
                <w:color w:val="000000"/>
                <w:spacing w:val="0"/>
                <w:w w:val="100"/>
                <w:position w:val="0"/>
              </w:rPr>
              <w:t>全年执行数</w:t>
            </w:r>
            <w:r>
              <w:rPr>
                <w:rFonts w:hint="eastAsia"/>
                <w:color w:val="000000"/>
                <w:spacing w:val="0"/>
                <w:w w:val="100"/>
                <w:position w:val="0"/>
                <w:lang w:eastAsia="zh-CN"/>
              </w:rPr>
              <w:t>（</w:t>
            </w:r>
            <w:r>
              <w:rPr>
                <w:rFonts w:ascii="Times New Roman" w:hAnsi="Times New Roman" w:eastAsia="Times New Roman" w:cs="Times New Roman"/>
                <w:color w:val="000000"/>
                <w:spacing w:val="0"/>
                <w:w w:val="100"/>
                <w:position w:val="0"/>
              </w:rPr>
              <w:t>B</w:t>
            </w:r>
            <w:r>
              <w:rPr>
                <w:rFonts w:hint="eastAsia" w:ascii="Times New Roman" w:hAnsi="Times New Roman" w:eastAsia="宋体" w:cs="Times New Roman"/>
                <w:color w:val="000000"/>
                <w:spacing w:val="0"/>
                <w:w w:val="100"/>
                <w:position w:val="0"/>
                <w:lang w:eastAsia="zh-CN"/>
              </w:rPr>
              <w:t>）</w:t>
            </w:r>
          </w:p>
        </w:tc>
        <w:tc>
          <w:tcPr>
            <w:gridSpan w:val="2"/>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rPr>
                <w:rFonts w:hint="eastAsia" w:eastAsia="宋体"/>
                <w:lang w:val="en-US" w:eastAsia="zh-CN"/>
              </w:rPr>
            </w:pPr>
            <w:r>
              <w:rPr>
                <w:color w:val="000000"/>
                <w:spacing w:val="0"/>
                <w:w w:val="100"/>
                <w:position w:val="0"/>
              </w:rPr>
              <w:t>预算执行率</w:t>
            </w:r>
            <w:r>
              <w:rPr>
                <w:rFonts w:hint="eastAsia"/>
                <w:color w:val="000000"/>
                <w:spacing w:val="0"/>
                <w:w w:val="100"/>
                <w:position w:val="0"/>
                <w:lang w:eastAsia="zh-CN"/>
              </w:rPr>
              <w:t>（</w:t>
            </w:r>
            <w:r>
              <w:rPr>
                <w:rFonts w:ascii="Times New Roman" w:hAnsi="Times New Roman" w:eastAsia="Times New Roman" w:cs="Times New Roman"/>
                <w:color w:val="000000"/>
                <w:spacing w:val="0"/>
                <w:w w:val="100"/>
                <w:position w:val="0"/>
              </w:rPr>
              <w:t>B/Ax</w:t>
            </w:r>
            <w:r>
              <w:rPr>
                <w:rFonts w:hint="eastAsia" w:ascii="Times New Roman" w:hAnsi="Times New Roman" w:eastAsia="宋体" w:cs="Times New Roman"/>
                <w:color w:val="000000"/>
                <w:spacing w:val="0"/>
                <w:w w:val="100"/>
                <w:position w:val="0"/>
                <w:lang w:val="en-US" w:eastAsia="zh-CN"/>
              </w:rPr>
              <w:t>100</w:t>
            </w:r>
            <w:r>
              <w:rPr>
                <w:rFonts w:ascii="Times New Roman" w:hAnsi="Times New Roman" w:eastAsia="Times New Roman" w:cs="Times New Roman"/>
                <w:color w:val="000000"/>
                <w:spacing w:val="0"/>
                <w:w w:val="100"/>
                <w:position w:val="0"/>
              </w:rPr>
              <w:t>%</w:t>
            </w:r>
            <w:r>
              <w:rPr>
                <w:rFonts w:hint="eastAsia" w:ascii="Times New Roman" w:hAnsi="Times New Roman" w:eastAsia="宋体" w:cs="Times New Roman"/>
                <w:color w:val="000000"/>
                <w:spacing w:val="0"/>
                <w:w w:val="100"/>
                <w:position w:val="0"/>
                <w:lang w:eastAsia="zh-CN"/>
              </w:rPr>
              <w:t>）</w:t>
            </w:r>
          </w:p>
        </w:tc>
      </w:tr>
      <w:tr>
        <w:tblPrEx>
          <w:tblCellMar>
            <w:top w:w="0" w:type="dxa"/>
            <w:left w:w="10" w:type="dxa"/>
            <w:bottom w:w="0" w:type="dxa"/>
            <w:right w:w="10" w:type="dxa"/>
          </w:tblCellMar>
        </w:tblPrEx>
        <w:trPr>
          <w:trHeight w:val="413" w:hRule="exact"/>
        </w:trPr>
        <w:tc>
          <w:tcPr>
            <w:vMerge w:val="restart"/>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5" w:lineRule="exact"/>
              <w:ind w:left="0" w:right="0" w:firstLine="0"/>
              <w:jc w:val="center"/>
            </w:pPr>
            <w:r>
              <w:rPr>
                <w:color w:val="000000"/>
                <w:spacing w:val="0"/>
                <w:w w:val="100"/>
                <w:position w:val="0"/>
              </w:rPr>
              <w:t>资金 投入 情况</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rPr>
                <w:rFonts w:hint="eastAsia" w:eastAsia="宋体"/>
                <w:lang w:eastAsia="zh-CN"/>
              </w:rPr>
            </w:pPr>
            <w:r>
              <w:rPr>
                <w:color w:val="000000"/>
                <w:spacing w:val="0"/>
                <w:w w:val="100"/>
                <w:position w:val="0"/>
              </w:rPr>
              <w:t>年度金额</w:t>
            </w:r>
            <w:r>
              <w:rPr>
                <w:rFonts w:hint="eastAsia"/>
                <w:color w:val="000000"/>
                <w:spacing w:val="0"/>
                <w:w w:val="100"/>
                <w:position w:val="0"/>
                <w:lang w:eastAsia="zh-CN"/>
              </w:rPr>
              <w:t>：</w:t>
            </w:r>
          </w:p>
        </w:tc>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r>
              <w:rPr>
                <w:rFonts w:hint="eastAsia"/>
                <w:color w:val="000000"/>
                <w:spacing w:val="0"/>
                <w:w w:val="100"/>
                <w:position w:val="0"/>
                <w:lang w:val="en-US" w:eastAsia="zh-CN"/>
              </w:rPr>
              <w:t>*</w:t>
            </w:r>
            <w:r>
              <w:rPr>
                <w:color w:val="000000"/>
                <w:spacing w:val="0"/>
                <w:w w:val="100"/>
                <w:position w:val="0"/>
              </w:rPr>
              <w:t>万元</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r>
              <w:rPr>
                <w:rFonts w:hint="eastAsia"/>
                <w:color w:val="000000"/>
                <w:spacing w:val="0"/>
                <w:w w:val="100"/>
                <w:position w:val="0"/>
                <w:lang w:val="en-US" w:eastAsia="zh-CN"/>
              </w:rPr>
              <w:t>*</w:t>
            </w:r>
            <w:r>
              <w:rPr>
                <w:color w:val="000000"/>
                <w:spacing w:val="0"/>
                <w:w w:val="100"/>
                <w:position w:val="0"/>
              </w:rPr>
              <w:t>万元</w:t>
            </w:r>
          </w:p>
        </w:tc>
        <w:tc>
          <w:tcPr>
            <w:gridSpan w:val="2"/>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p>
        </w:tc>
      </w:tr>
      <w:tr>
        <w:tblPrEx>
          <w:tblCellMar>
            <w:top w:w="0" w:type="dxa"/>
            <w:left w:w="10" w:type="dxa"/>
            <w:bottom w:w="0" w:type="dxa"/>
            <w:right w:w="10" w:type="dxa"/>
          </w:tblCellMar>
        </w:tblPrEx>
        <w:trPr>
          <w:trHeight w:val="438" w:hRule="exact"/>
        </w:trPr>
        <w:tc>
          <w:tcPr>
            <w:vMerge w:val="continue"/>
            <w:tcBorders>
              <w:left w:val="single" w:color="auto" w:sz="4" w:space="0"/>
            </w:tcBorders>
            <w:shd w:val="clear" w:color="auto" w:fill="FFFFFF"/>
            <w:vAlign w:val="bottom"/>
          </w:tcPr>
          <w:p>
            <w:pPr>
              <w:framePr w:w="10589" w:h="10106" w:wrap="auto" w:vAnchor="page" w:hAnchor="page" w:x="649" w:y="3657"/>
              <w:jc w:val="center"/>
            </w:pP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其中</w:t>
            </w:r>
            <w:r>
              <w:rPr>
                <w:rFonts w:hint="eastAsia"/>
                <w:color w:val="000000"/>
                <w:spacing w:val="0"/>
                <w:w w:val="100"/>
                <w:position w:val="0"/>
                <w:lang w:eastAsia="zh-CN"/>
              </w:rPr>
              <w:t>：</w:t>
            </w:r>
            <w:r>
              <w:rPr>
                <w:color w:val="000000"/>
                <w:spacing w:val="0"/>
                <w:w w:val="100"/>
                <w:position w:val="0"/>
              </w:rPr>
              <w:t>中央补助</w:t>
            </w:r>
          </w:p>
        </w:tc>
        <w:tc>
          <w:tcPr>
            <w:gridSpan w:val="2"/>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r>
              <w:rPr>
                <w:rFonts w:hint="eastAsia"/>
                <w:color w:val="000000"/>
                <w:spacing w:val="0"/>
                <w:w w:val="100"/>
                <w:position w:val="0"/>
                <w:lang w:val="en-US" w:eastAsia="zh-CN"/>
              </w:rPr>
              <w:t>*</w:t>
            </w:r>
            <w:r>
              <w:rPr>
                <w:color w:val="000000"/>
                <w:spacing w:val="0"/>
                <w:w w:val="100"/>
                <w:position w:val="0"/>
              </w:rPr>
              <w:t>万元</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r>
              <w:rPr>
                <w:rFonts w:hint="eastAsia"/>
                <w:color w:val="000000"/>
                <w:spacing w:val="0"/>
                <w:w w:val="100"/>
                <w:position w:val="0"/>
                <w:lang w:val="en-US" w:eastAsia="zh-CN"/>
              </w:rPr>
              <w:t>*</w:t>
            </w:r>
            <w:r>
              <w:rPr>
                <w:color w:val="000000"/>
                <w:spacing w:val="0"/>
                <w:w w:val="100"/>
                <w:position w:val="0"/>
              </w:rPr>
              <w:t>万元</w:t>
            </w:r>
          </w:p>
        </w:tc>
        <w:tc>
          <w:tcPr>
            <w:gridSpan w:val="2"/>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w:t>
            </w:r>
          </w:p>
        </w:tc>
      </w:tr>
      <w:tr>
        <w:tblPrEx>
          <w:tblCellMar>
            <w:top w:w="0" w:type="dxa"/>
            <w:left w:w="10" w:type="dxa"/>
            <w:bottom w:w="0" w:type="dxa"/>
            <w:right w:w="10" w:type="dxa"/>
          </w:tblCellMar>
        </w:tblPrEx>
        <w:trPr>
          <w:trHeight w:val="288" w:hRule="exact"/>
        </w:trPr>
        <w:tc>
          <w:tcPr>
            <w:vMerge w:val="continue"/>
            <w:tcBorders>
              <w:left w:val="single" w:color="auto" w:sz="4" w:space="0"/>
            </w:tcBorders>
            <w:shd w:val="clear" w:color="auto" w:fill="FFFFFF"/>
            <w:vAlign w:val="bottom"/>
          </w:tcPr>
          <w:p>
            <w:pPr>
              <w:framePr w:w="10589" w:h="10106" w:wrap="auto" w:vAnchor="page" w:hAnchor="page" w:x="649" w:y="3657"/>
              <w:jc w:val="center"/>
            </w:pP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640"/>
              <w:jc w:val="center"/>
            </w:pPr>
            <w:r>
              <w:rPr>
                <w:color w:val="000000"/>
                <w:spacing w:val="0"/>
                <w:w w:val="100"/>
                <w:position w:val="0"/>
              </w:rPr>
              <w:t>地方资金</w:t>
            </w:r>
          </w:p>
        </w:tc>
        <w:tc>
          <w:tcPr>
            <w:gridSpan w:val="2"/>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gridSpan w:val="2"/>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293" w:hRule="exact"/>
        </w:trPr>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年度 目标</w:t>
            </w:r>
          </w:p>
        </w:tc>
        <w:tc>
          <w:tcPr>
            <w:gridSpan w:val="3"/>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总体目标</w:t>
            </w:r>
          </w:p>
        </w:tc>
        <w:tc>
          <w:tcPr>
            <w:gridSpan w:val="3"/>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全年实际完成情况</w:t>
            </w:r>
          </w:p>
        </w:tc>
      </w:tr>
      <w:tr>
        <w:tblPrEx>
          <w:tblCellMar>
            <w:top w:w="0" w:type="dxa"/>
            <w:left w:w="10" w:type="dxa"/>
            <w:bottom w:w="0" w:type="dxa"/>
            <w:right w:w="10" w:type="dxa"/>
          </w:tblCellMar>
        </w:tblPrEx>
        <w:trPr>
          <w:trHeight w:val="962"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gridSpan w:val="3"/>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83" w:lineRule="exact"/>
              <w:ind w:left="0" w:right="0" w:firstLine="0"/>
              <w:jc w:val="center"/>
            </w:pPr>
            <w:r>
              <w:rPr>
                <w:color w:val="000000"/>
                <w:spacing w:val="0"/>
                <w:w w:val="100"/>
                <w:position w:val="0"/>
              </w:rPr>
              <w:t>支持农作物重大病虫疫情防控</w:t>
            </w:r>
            <w:r>
              <w:rPr>
                <w:rFonts w:hint="eastAsia"/>
                <w:color w:val="000000"/>
                <w:spacing w:val="0"/>
                <w:w w:val="100"/>
                <w:position w:val="0"/>
                <w:lang w:eastAsia="zh-CN"/>
              </w:rPr>
              <w:t>，</w:t>
            </w:r>
            <w:r>
              <w:rPr>
                <w:color w:val="000000"/>
                <w:spacing w:val="0"/>
                <w:w w:val="100"/>
                <w:position w:val="0"/>
              </w:rPr>
              <w:t>重发区域病虫疫情得到有效控制</w:t>
            </w:r>
            <w:r>
              <w:rPr>
                <w:rFonts w:hint="eastAsia"/>
                <w:color w:val="000000"/>
                <w:spacing w:val="0"/>
                <w:w w:val="100"/>
                <w:position w:val="0"/>
                <w:lang w:eastAsia="zh-CN"/>
              </w:rPr>
              <w:t>，</w:t>
            </w:r>
            <w:r>
              <w:rPr>
                <w:color w:val="000000"/>
                <w:spacing w:val="0"/>
                <w:w w:val="100"/>
                <w:position w:val="0"/>
              </w:rPr>
              <w:t>新发突发重大农业植物疫情有效处置</w:t>
            </w:r>
            <w:r>
              <w:rPr>
                <w:rFonts w:hint="eastAsia"/>
                <w:color w:val="000000"/>
                <w:spacing w:val="0"/>
                <w:w w:val="100"/>
                <w:position w:val="0"/>
                <w:lang w:eastAsia="zh-CN"/>
              </w:rPr>
              <w:t>，</w:t>
            </w:r>
            <w:r>
              <w:rPr>
                <w:color w:val="000000"/>
                <w:spacing w:val="0"/>
                <w:w w:val="100"/>
                <w:position w:val="0"/>
              </w:rPr>
              <w:t>不出现大面积绝收成灾</w:t>
            </w:r>
            <w:r>
              <w:rPr>
                <w:rFonts w:hint="eastAsia"/>
                <w:color w:val="000000"/>
                <w:spacing w:val="0"/>
                <w:w w:val="100"/>
                <w:position w:val="0"/>
                <w:lang w:eastAsia="zh-CN"/>
              </w:rPr>
              <w:t>，</w:t>
            </w:r>
            <w:r>
              <w:rPr>
                <w:color w:val="000000"/>
                <w:spacing w:val="0"/>
                <w:w w:val="100"/>
                <w:position w:val="0"/>
              </w:rPr>
              <w:t>有力保障粮食安全和农业生产安全</w:t>
            </w:r>
          </w:p>
        </w:tc>
        <w:tc>
          <w:tcPr>
            <w:gridSpan w:val="3"/>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1" w:hRule="exact"/>
        </w:trPr>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绩效 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ー级指标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二级指标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500"/>
              <w:jc w:val="both"/>
            </w:pPr>
            <w:r>
              <w:rPr>
                <w:color w:val="000000"/>
                <w:spacing w:val="0"/>
                <w:w w:val="100"/>
                <w:position w:val="0"/>
              </w:rPr>
              <w:t>三级指标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指标值</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3" w:lineRule="exact"/>
              <w:ind w:left="0" w:right="0" w:firstLine="0"/>
              <w:jc w:val="center"/>
              <w:rPr>
                <w:color w:val="000000"/>
                <w:spacing w:val="0"/>
                <w:w w:val="100"/>
                <w:position w:val="0"/>
              </w:rPr>
            </w:pPr>
            <w:r>
              <w:rPr>
                <w:color w:val="000000"/>
                <w:spacing w:val="0"/>
                <w:w w:val="100"/>
                <w:position w:val="0"/>
              </w:rPr>
              <w:t>全年实际</w:t>
            </w:r>
          </w:p>
          <w:p>
            <w:pPr>
              <w:pStyle w:val="9"/>
              <w:keepNext w:val="0"/>
              <w:keepLines w:val="0"/>
              <w:framePr w:w="10589" w:h="10106" w:wrap="auto" w:vAnchor="page" w:hAnchor="page" w:x="649" w:y="3657"/>
              <w:widowControl w:val="0"/>
              <w:shd w:val="clear" w:color="auto" w:fill="auto"/>
              <w:bidi w:val="0"/>
              <w:spacing w:before="0" w:after="0" w:line="273" w:lineRule="exact"/>
              <w:ind w:left="0" w:right="0" w:firstLine="0"/>
              <w:jc w:val="center"/>
            </w:pPr>
            <w:r>
              <w:rPr>
                <w:color w:val="000000"/>
                <w:spacing w:val="0"/>
                <w:w w:val="100"/>
                <w:position w:val="0"/>
              </w:rPr>
              <w:t>完成值</w:t>
            </w:r>
          </w:p>
        </w:tc>
        <w:tc>
          <w:tcPr>
            <w:tcBorders>
              <w:top w:val="single" w:color="auto" w:sz="4" w:space="0"/>
              <w:left w:val="single" w:color="auto" w:sz="4" w:space="0"/>
              <w:righ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rPr>
                <w:color w:val="000000"/>
                <w:spacing w:val="0"/>
                <w:w w:val="100"/>
                <w:position w:val="0"/>
              </w:rPr>
            </w:pPr>
            <w:r>
              <w:rPr>
                <w:color w:val="000000"/>
                <w:spacing w:val="0"/>
                <w:w w:val="100"/>
                <w:position w:val="0"/>
              </w:rPr>
              <w:t>未完成原因</w:t>
            </w:r>
          </w:p>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和改进措施</w:t>
            </w:r>
          </w:p>
        </w:tc>
      </w:tr>
      <w:tr>
        <w:tblPrEx>
          <w:tblCellMar>
            <w:top w:w="0" w:type="dxa"/>
            <w:left w:w="10" w:type="dxa"/>
            <w:bottom w:w="0" w:type="dxa"/>
            <w:right w:w="10" w:type="dxa"/>
          </w:tblCellMar>
        </w:tblPrEx>
        <w:trPr>
          <w:trHeight w:val="566"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产出指标</w:t>
            </w:r>
          </w:p>
        </w:tc>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right="0"/>
              <w:jc w:val="center"/>
            </w:pPr>
            <w:r>
              <w:rPr>
                <w:color w:val="000000"/>
                <w:spacing w:val="0"/>
                <w:w w:val="100"/>
                <w:position w:val="0"/>
              </w:rPr>
              <w:t>数量指标</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重大病虫疫情防控面积</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rFonts w:hint="eastAsia"/>
                <w:color w:val="000000"/>
                <w:spacing w:val="0"/>
                <w:w w:val="100"/>
                <w:position w:val="0"/>
                <w:lang w:eastAsia="zh-CN"/>
              </w:rPr>
              <w:t>≥</w:t>
            </w:r>
            <w:r>
              <w:rPr>
                <w:rFonts w:hint="eastAsia"/>
                <w:color w:val="000000"/>
                <w:spacing w:val="0"/>
                <w:w w:val="100"/>
                <w:position w:val="0"/>
                <w:lang w:val="en-US" w:eastAsia="zh-CN"/>
              </w:rPr>
              <w:t>*</w:t>
            </w:r>
            <w:r>
              <w:rPr>
                <w:color w:val="000000"/>
                <w:spacing w:val="0"/>
                <w:w w:val="100"/>
                <w:position w:val="0"/>
              </w:rPr>
              <w:t>万亩</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13"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生物防治面积</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rFonts w:hint="eastAsia"/>
                <w:color w:val="000000"/>
                <w:spacing w:val="0"/>
                <w:w w:val="100"/>
                <w:position w:val="0"/>
                <w:lang w:eastAsia="zh-CN"/>
              </w:rPr>
              <w:t>≥</w:t>
            </w:r>
            <w:r>
              <w:rPr>
                <w:rFonts w:hint="eastAsia"/>
                <w:color w:val="000000"/>
                <w:spacing w:val="0"/>
                <w:w w:val="100"/>
                <w:position w:val="0"/>
                <w:lang w:val="en-US" w:eastAsia="zh-CN"/>
              </w:rPr>
              <w:t>*</w:t>
            </w:r>
            <w:r>
              <w:rPr>
                <w:color w:val="000000"/>
                <w:spacing w:val="0"/>
                <w:w w:val="100"/>
                <w:position w:val="0"/>
              </w:rPr>
              <w:t>万亩</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81"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93" w:lineRule="exact"/>
              <w:ind w:left="0" w:right="0" w:firstLine="0"/>
              <w:jc w:val="center"/>
            </w:pPr>
            <w:r>
              <w:rPr>
                <w:color w:val="000000"/>
                <w:spacing w:val="0"/>
                <w:w w:val="100"/>
                <w:position w:val="0"/>
              </w:rPr>
              <w:t>设立病虫疫情监测点</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*个</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1"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质量指标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right="0"/>
              <w:jc w:val="center"/>
            </w:pPr>
            <w:r>
              <w:rPr>
                <w:color w:val="000000"/>
                <w:spacing w:val="0"/>
                <w:w w:val="100"/>
                <w:position w:val="0"/>
              </w:rPr>
              <w:t>防控效果</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有效遏制暴发流行成灾</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6"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项目实施区统防统治覆盖率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rFonts w:hint="eastAsia"/>
                <w:color w:val="000000"/>
                <w:spacing w:val="0"/>
                <w:w w:val="100"/>
                <w:position w:val="0"/>
                <w:lang w:eastAsia="zh-CN"/>
              </w:rPr>
              <w:t>＞</w:t>
            </w:r>
            <w:r>
              <w:rPr>
                <w:rFonts w:ascii="Times New Roman" w:hAnsi="Times New Roman" w:eastAsia="Times New Roman" w:cs="Times New Roman"/>
                <w:color w:val="000000"/>
                <w:spacing w:val="0"/>
                <w:w w:val="100"/>
                <w:position w:val="0"/>
              </w:rPr>
              <w:t>90%</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1"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时效指标</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83" w:lineRule="exact"/>
              <w:ind w:right="0"/>
              <w:jc w:val="center"/>
            </w:pPr>
            <w:r>
              <w:rPr>
                <w:color w:val="000000"/>
                <w:spacing w:val="0"/>
                <w:w w:val="100"/>
                <w:position w:val="0"/>
              </w:rPr>
              <w:t>农作物病虫害防治组织实施时效</w:t>
            </w:r>
          </w:p>
        </w:tc>
        <w:tc>
          <w:tcPr>
            <w:tcBorders>
              <w:top w:val="single" w:color="auto" w:sz="4" w:space="0"/>
              <w:left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在农作物病虫害防控期及时组织实施</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1"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restart"/>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效益指标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420"/>
              <w:jc w:val="both"/>
            </w:pPr>
            <w:r>
              <w:rPr>
                <w:color w:val="000000"/>
                <w:spacing w:val="0"/>
                <w:w w:val="100"/>
                <w:position w:val="0"/>
              </w:rPr>
              <w:t>成本指标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78" w:lineRule="exact"/>
              <w:ind w:left="0" w:right="0" w:firstLine="0"/>
              <w:jc w:val="center"/>
            </w:pPr>
            <w:r>
              <w:rPr>
                <w:color w:val="000000"/>
                <w:spacing w:val="0"/>
                <w:w w:val="100"/>
                <w:position w:val="0"/>
              </w:rPr>
              <w:t>釆购物资或服务价格</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color w:val="000000"/>
                <w:spacing w:val="0"/>
                <w:w w:val="100"/>
                <w:position w:val="0"/>
              </w:rPr>
              <w:t>不超过市场价格</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1126"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220"/>
              <w:jc w:val="both"/>
            </w:pPr>
            <w:r>
              <w:rPr>
                <w:color w:val="000000"/>
                <w:spacing w:val="0"/>
                <w:w w:val="100"/>
                <w:position w:val="0"/>
              </w:rPr>
              <w:t>社会效益指标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80" w:lineRule="exact"/>
              <w:ind w:left="0" w:right="0" w:firstLine="0"/>
              <w:jc w:val="center"/>
            </w:pPr>
            <w:r>
              <w:rPr>
                <w:color w:val="000000"/>
                <w:spacing w:val="0"/>
                <w:w w:val="100"/>
                <w:position w:val="0"/>
              </w:rPr>
              <w:t>防灾措施保障粮食安全和农业生产安全效果</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79" w:lineRule="exact"/>
              <w:ind w:left="0" w:right="0" w:firstLine="0"/>
              <w:jc w:val="center"/>
            </w:pPr>
            <w:r>
              <w:rPr>
                <w:color w:val="000000"/>
                <w:spacing w:val="0"/>
                <w:w w:val="100"/>
                <w:position w:val="0"/>
              </w:rPr>
              <w:t>重发区域病虫害得到有效控制</w:t>
            </w:r>
            <w:r>
              <w:rPr>
                <w:rFonts w:hint="eastAsia"/>
                <w:color w:val="000000"/>
                <w:spacing w:val="0"/>
                <w:w w:val="100"/>
                <w:position w:val="0"/>
                <w:lang w:eastAsia="zh-CN"/>
              </w:rPr>
              <w:t>，</w:t>
            </w:r>
            <w:r>
              <w:rPr>
                <w:color w:val="000000"/>
                <w:spacing w:val="0"/>
                <w:w w:val="100"/>
                <w:position w:val="0"/>
              </w:rPr>
              <w:t>农作物不出现大范围成灾绝收</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854" w:hRule="exact"/>
        </w:trPr>
        <w:tc>
          <w:tcPr>
            <w:vMerge w:val="continue"/>
            <w:tcBorders>
              <w:left w:val="single" w:color="auto" w:sz="4" w:space="0"/>
            </w:tcBorders>
            <w:shd w:val="clear" w:color="auto" w:fill="FFFFFF"/>
            <w:vAlign w:val="center"/>
          </w:tcPr>
          <w:p>
            <w:pPr>
              <w:framePr w:w="10589" w:h="10106" w:wrap="auto" w:vAnchor="page" w:hAnchor="page" w:x="649" w:y="3657"/>
              <w:jc w:val="center"/>
            </w:pPr>
          </w:p>
        </w:tc>
        <w:tc>
          <w:tcPr>
            <w:vMerge w:val="continue"/>
            <w:tcBorders>
              <w:left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83" w:lineRule="exact"/>
              <w:ind w:left="0" w:right="0" w:firstLine="0"/>
              <w:jc w:val="center"/>
            </w:pPr>
            <w:r>
              <w:rPr>
                <w:color w:val="000000"/>
                <w:spacing w:val="0"/>
                <w:w w:val="100"/>
                <w:position w:val="0"/>
              </w:rPr>
              <w:t>可持续影响指标</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83" w:lineRule="exact"/>
              <w:ind w:left="0" w:right="0" w:firstLine="0"/>
              <w:jc w:val="center"/>
            </w:pPr>
            <w:r>
              <w:rPr>
                <w:color w:val="000000"/>
                <w:spacing w:val="0"/>
                <w:w w:val="100"/>
                <w:position w:val="0"/>
              </w:rPr>
              <w:t>有效保持重大病虫疫情灾情监测预警能力</w:t>
            </w:r>
          </w:p>
        </w:tc>
        <w:tc>
          <w:tcPr>
            <w:tcBorders>
              <w:top w:val="single" w:color="auto" w:sz="4" w:space="0"/>
              <w:left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73" w:lineRule="exact"/>
              <w:ind w:left="0" w:right="0" w:firstLine="0"/>
              <w:jc w:val="center"/>
            </w:pPr>
            <w:r>
              <w:rPr>
                <w:color w:val="000000"/>
                <w:spacing w:val="0"/>
                <w:w w:val="100"/>
                <w:position w:val="0"/>
              </w:rPr>
              <w:t>设立重大病虫疫情监测点</w:t>
            </w:r>
            <w:r>
              <w:rPr>
                <w:rFonts w:ascii="Times New Roman" w:hAnsi="Times New Roman" w:eastAsia="Times New Roman" w:cs="Times New Roman"/>
                <w:color w:val="000000"/>
                <w:spacing w:val="0"/>
                <w:w w:val="100"/>
                <w:position w:val="0"/>
              </w:rPr>
              <w:t>10000</w:t>
            </w:r>
            <w:r>
              <w:rPr>
                <w:color w:val="000000"/>
                <w:spacing w:val="0"/>
                <w:w w:val="100"/>
                <w:position w:val="0"/>
              </w:rPr>
              <w:t>个</w:t>
            </w:r>
          </w:p>
        </w:tc>
        <w:tc>
          <w:tcPr>
            <w:tcBorders>
              <w:top w:val="single" w:color="auto" w:sz="4" w:space="0"/>
              <w:left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r>
        <w:tblPrEx>
          <w:tblCellMar>
            <w:top w:w="0" w:type="dxa"/>
            <w:left w:w="10" w:type="dxa"/>
            <w:bottom w:w="0" w:type="dxa"/>
            <w:right w:w="10" w:type="dxa"/>
          </w:tblCellMar>
        </w:tblPrEx>
        <w:trPr>
          <w:trHeight w:val="566" w:hRule="exact"/>
        </w:trPr>
        <w:tc>
          <w:tcPr>
            <w:vMerge w:val="continue"/>
            <w:tcBorders>
              <w:left w:val="single" w:color="auto" w:sz="4" w:space="0"/>
              <w:bottom w:val="single" w:color="auto" w:sz="4" w:space="0"/>
            </w:tcBorders>
            <w:shd w:val="clear" w:color="auto" w:fill="FFFFFF"/>
            <w:vAlign w:val="center"/>
          </w:tcPr>
          <w:p>
            <w:pPr>
              <w:framePr w:w="10589" w:h="10106" w:wrap="auto" w:vAnchor="page" w:hAnchor="page" w:x="649" w:y="3657"/>
              <w:jc w:val="center"/>
            </w:pPr>
          </w:p>
        </w:tc>
        <w:tc>
          <w:tcPr>
            <w:tcBorders>
              <w:top w:val="single" w:color="auto" w:sz="4" w:space="0"/>
              <w:left w:val="single" w:color="auto" w:sz="4" w:space="0"/>
              <w:bottom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320"/>
              <w:jc w:val="both"/>
            </w:pPr>
            <w:r>
              <w:rPr>
                <w:color w:val="000000"/>
                <w:spacing w:val="0"/>
                <w:w w:val="100"/>
                <w:position w:val="0"/>
              </w:rPr>
              <w:t>满意度指标</w:t>
            </w:r>
          </w:p>
        </w:tc>
        <w:tc>
          <w:tcPr>
            <w:tcBorders>
              <w:top w:val="single" w:color="auto" w:sz="4" w:space="0"/>
              <w:left w:val="single" w:color="auto" w:sz="4" w:space="0"/>
              <w:bottom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83" w:lineRule="exact"/>
              <w:ind w:left="0" w:right="0" w:firstLine="0"/>
              <w:jc w:val="center"/>
            </w:pPr>
            <w:r>
              <w:rPr>
                <w:color w:val="000000"/>
                <w:spacing w:val="0"/>
                <w:w w:val="100"/>
                <w:position w:val="0"/>
              </w:rPr>
              <w:t>技术指导对象满意度指标</w:t>
            </w:r>
          </w:p>
        </w:tc>
        <w:tc>
          <w:tcPr>
            <w:tcBorders>
              <w:top w:val="single" w:color="auto" w:sz="4" w:space="0"/>
              <w:left w:val="single" w:color="auto" w:sz="4" w:space="0"/>
              <w:bottom w:val="single" w:color="auto" w:sz="4" w:space="0"/>
            </w:tcBorders>
            <w:shd w:val="clear" w:color="auto" w:fill="FFFFFF"/>
            <w:vAlign w:val="bottom"/>
          </w:tcPr>
          <w:p>
            <w:pPr>
              <w:pStyle w:val="9"/>
              <w:keepNext w:val="0"/>
              <w:keepLines w:val="0"/>
              <w:framePr w:w="10589" w:h="10106" w:wrap="auto" w:vAnchor="page" w:hAnchor="page" w:x="649" w:y="3657"/>
              <w:widowControl w:val="0"/>
              <w:shd w:val="clear" w:color="auto" w:fill="auto"/>
              <w:bidi w:val="0"/>
              <w:spacing w:before="0" w:after="0" w:line="283" w:lineRule="exact"/>
              <w:ind w:right="0"/>
              <w:jc w:val="center"/>
            </w:pPr>
            <w:r>
              <w:rPr>
                <w:color w:val="000000"/>
                <w:spacing w:val="0"/>
                <w:w w:val="100"/>
                <w:position w:val="0"/>
              </w:rPr>
              <w:t>受灾农民或防治服务组织满意度</w:t>
            </w:r>
          </w:p>
        </w:tc>
        <w:tc>
          <w:tcPr>
            <w:tcBorders>
              <w:top w:val="single" w:color="auto" w:sz="4" w:space="0"/>
              <w:left w:val="single" w:color="auto" w:sz="4" w:space="0"/>
              <w:bottom w:val="single" w:color="auto" w:sz="4" w:space="0"/>
            </w:tcBorders>
            <w:shd w:val="clear" w:color="auto" w:fill="FFFFFF"/>
            <w:vAlign w:val="center"/>
          </w:tcPr>
          <w:p>
            <w:pPr>
              <w:pStyle w:val="9"/>
              <w:keepNext w:val="0"/>
              <w:keepLines w:val="0"/>
              <w:framePr w:w="10589" w:h="10106" w:wrap="auto" w:vAnchor="page" w:hAnchor="page" w:x="649" w:y="3657"/>
              <w:widowControl w:val="0"/>
              <w:shd w:val="clear" w:color="auto" w:fill="auto"/>
              <w:bidi w:val="0"/>
              <w:spacing w:before="0" w:after="0" w:line="240" w:lineRule="auto"/>
              <w:ind w:left="0" w:right="0" w:firstLine="0"/>
              <w:jc w:val="center"/>
            </w:pPr>
            <w:r>
              <w:rPr>
                <w:rFonts w:hint="eastAsia" w:ascii="Times New Roman" w:hAnsi="Times New Roman" w:eastAsia="宋体" w:cs="Times New Roman"/>
                <w:color w:val="000000"/>
                <w:spacing w:val="0"/>
                <w:w w:val="100"/>
                <w:position w:val="0"/>
                <w:lang w:val="en-US" w:eastAsia="zh-CN"/>
              </w:rPr>
              <w:t>≥8</w:t>
            </w:r>
            <w:r>
              <w:rPr>
                <w:rFonts w:ascii="Times New Roman" w:hAnsi="Times New Roman" w:eastAsia="Times New Roman" w:cs="Times New Roman"/>
                <w:color w:val="000000"/>
                <w:spacing w:val="0"/>
                <w:w w:val="100"/>
                <w:position w:val="0"/>
              </w:rPr>
              <w:t>5%</w:t>
            </w:r>
          </w:p>
        </w:tc>
        <w:tc>
          <w:tcPr>
            <w:tcBorders>
              <w:top w:val="single" w:color="auto" w:sz="4" w:space="0"/>
              <w:left w:val="single" w:color="auto" w:sz="4" w:space="0"/>
              <w:bottom w:val="single" w:color="auto" w:sz="4" w:space="0"/>
            </w:tcBorders>
            <w:shd w:val="clear" w:color="auto" w:fill="FFFFFF"/>
            <w:vAlign w:val="top"/>
          </w:tcPr>
          <w:p>
            <w:pPr>
              <w:framePr w:w="10589" w:h="10106" w:wrap="auto" w:vAnchor="page" w:hAnchor="page" w:x="649" w:y="3657"/>
              <w:widowControl w:val="0"/>
              <w:jc w:val="center"/>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framePr w:w="10589" w:h="10106" w:wrap="auto" w:vAnchor="page" w:hAnchor="page" w:x="649" w:y="3657"/>
              <w:widowControl w:val="0"/>
              <w:jc w:val="center"/>
              <w:rPr>
                <w:sz w:val="10"/>
                <w:szCs w:val="10"/>
              </w:rPr>
            </w:pPr>
          </w:p>
        </w:tc>
      </w:tr>
    </w:tbl>
    <w:p>
      <w:pPr>
        <w:bidi w:val="0"/>
        <w:rPr>
          <w:rFonts w:hint="default"/>
          <w:lang w:val="en-US" w:eastAsia="zh-CN"/>
        </w:rPr>
      </w:pPr>
      <w:r>
        <w:rPr>
          <w:rFonts w:hint="eastAsia"/>
          <w:lang w:val="en-US" w:eastAsia="zh-CN"/>
        </w:rPr>
        <w:t>注：1.资金使用单位按项目绩效目标填报。</w:t>
      </w:r>
    </w:p>
    <w:p>
      <w:pPr>
        <w:bidi w:val="0"/>
        <w:ind w:firstLine="420" w:firstLineChars="200"/>
        <w:rPr>
          <w:rFonts w:hint="default"/>
          <w:lang w:val="en-US" w:eastAsia="zh-CN"/>
        </w:rPr>
      </w:pPr>
      <w:r>
        <w:rPr>
          <w:rFonts w:hint="eastAsia"/>
          <w:lang w:val="en-US" w:eastAsia="zh-CN"/>
        </w:rPr>
        <w:t>2.全年执行数是指按照国库集中支付制度要求所形成的实际支出。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S Mincho">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 w:name="Droid Sans Fallback">
    <w:panose1 w:val="020B0502000000000001"/>
    <w:charset w:val="86"/>
    <w:family w:val="auto"/>
    <w:pitch w:val="default"/>
    <w:sig w:usb0="910002FF" w:usb1="2BDFFCFB" w:usb2="00000036" w:usb3="00000000" w:csb0="203F01FF" w:csb1="D7FF0000"/>
  </w:font>
  <w:font w:name="MathJax_Vector">
    <w:panose1 w:val="02000603000000000000"/>
    <w:charset w:val="00"/>
    <w:family w:val="auto"/>
    <w:pitch w:val="default"/>
    <w:sig w:usb0="00000001" w:usb1="0000002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A4A0C"/>
    <w:rsid w:val="05823F16"/>
    <w:rsid w:val="13CE315E"/>
    <w:rsid w:val="1FF6F08C"/>
    <w:rsid w:val="334F3B67"/>
    <w:rsid w:val="55EA597A"/>
    <w:rsid w:val="56AA4A0C"/>
    <w:rsid w:val="578F69B8"/>
    <w:rsid w:val="7ECF5D1B"/>
    <w:rsid w:val="F2EF7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customStyle="1" w:styleId="5">
    <w:name w:val="Table Text"/>
    <w:basedOn w:val="1"/>
    <w:semiHidden/>
    <w:qFormat/>
    <w:uiPriority w:val="0"/>
    <w:rPr>
      <w:rFonts w:ascii="仿宋" w:hAnsi="仿宋" w:eastAsia="仿宋" w:cs="仿宋"/>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Heading #2|1"/>
    <w:basedOn w:val="1"/>
    <w:qFormat/>
    <w:uiPriority w:val="0"/>
    <w:pPr>
      <w:widowControl w:val="0"/>
      <w:shd w:val="clear" w:color="auto" w:fill="auto"/>
      <w:spacing w:before="310" w:after="60"/>
      <w:jc w:val="center"/>
      <w:outlineLvl w:val="1"/>
    </w:pPr>
    <w:rPr>
      <w:rFonts w:ascii="MS Mincho" w:hAnsi="MS Mincho" w:eastAsia="MS Mincho" w:cs="MS Mincho"/>
      <w:sz w:val="46"/>
      <w:szCs w:val="46"/>
      <w:u w:val="none"/>
      <w:shd w:val="clear" w:color="auto" w:fill="auto"/>
    </w:rPr>
  </w:style>
  <w:style w:type="paragraph" w:customStyle="1" w:styleId="8">
    <w:name w:val="Body text|5"/>
    <w:basedOn w:val="1"/>
    <w:qFormat/>
    <w:uiPriority w:val="0"/>
    <w:pPr>
      <w:widowControl w:val="0"/>
      <w:shd w:val="clear" w:color="auto" w:fill="auto"/>
      <w:jc w:val="center"/>
    </w:pPr>
    <w:rPr>
      <w:sz w:val="34"/>
      <w:szCs w:val="34"/>
      <w:u w:val="none"/>
      <w:shd w:val="clear" w:color="auto" w:fill="auto"/>
    </w:rPr>
  </w:style>
  <w:style w:type="paragraph" w:customStyle="1" w:styleId="9">
    <w:name w:val="Other|1"/>
    <w:basedOn w:val="1"/>
    <w:qFormat/>
    <w:uiPriority w:val="0"/>
    <w:pPr>
      <w:widowControl w:val="0"/>
      <w:shd w:val="clear" w:color="auto" w:fill="auto"/>
    </w:pPr>
    <w:rPr>
      <w:rFonts w:ascii="宋体" w:hAnsi="宋体" w:eastAsia="宋体" w:cs="宋体"/>
      <w:sz w:val="20"/>
      <w:szCs w:val="20"/>
      <w:u w:val="none"/>
      <w:shd w:val="clear" w:color="auto" w:fill="auto"/>
    </w:rPr>
  </w:style>
  <w:style w:type="paragraph" w:customStyle="1" w:styleId="10">
    <w:name w:val="Table caption|1"/>
    <w:basedOn w:val="1"/>
    <w:qFormat/>
    <w:uiPriority w:val="0"/>
    <w:pPr>
      <w:widowControl w:val="0"/>
      <w:shd w:val="clear" w:color="auto" w:fill="auto"/>
      <w:ind w:firstLine="210"/>
    </w:pPr>
    <w:rPr>
      <w:rFonts w:ascii="宋体" w:hAnsi="宋体" w:eastAsia="宋体" w:cs="宋体"/>
      <w:sz w:val="20"/>
      <w:szCs w:val="20"/>
      <w:u w:val="none"/>
      <w:shd w:val="clear" w:color="auto" w:fill="auto"/>
    </w:rPr>
  </w:style>
  <w:style w:type="paragraph" w:customStyle="1" w:styleId="11">
    <w:name w:val="Header or footer|1"/>
    <w:basedOn w:val="1"/>
    <w:qFormat/>
    <w:uiPriority w:val="0"/>
    <w:pPr>
      <w:widowControl w:val="0"/>
      <w:shd w:val="clear" w:color="auto" w:fill="auto"/>
    </w:pPr>
    <w:rPr>
      <w:rFonts w:ascii="MS Mincho" w:hAnsi="MS Mincho" w:eastAsia="MS Mincho" w:cs="MS Mincho"/>
      <w:sz w:val="30"/>
      <w:szCs w:val="30"/>
      <w:u w:val="none"/>
      <w:shd w:val="clear" w:color="auto" w:fill="auto"/>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2696</Words>
  <Characters>2772</Characters>
  <Lines>0</Lines>
  <Paragraphs>0</Paragraphs>
  <TotalTime>16</TotalTime>
  <ScaleCrop>false</ScaleCrop>
  <LinksUpToDate>false</LinksUpToDate>
  <CharactersWithSpaces>2867</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2025-07-19T01:00:00Z</dcterms:created>
  <dc:creator>&amp;还能怎样&amp;</dc:creator>
  <cp:lastModifiedBy>ht-706</cp:lastModifiedBy>
  <dcterms:modified xsi:type="dcterms:W3CDTF">2025-07-18T14:32:55Z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6B253B8302744F7AB435D2734E9EEE27_11</vt:lpwstr>
  </property>
  <property fmtid="{D5CDD505-2E9C-101B-9397-08002B2CF9AE}" pid="4" name="KSOTemplateDocerSaveRecord">
    <vt:lpwstr>eyJoZGlkIjoiYTRlN2NkZjBiZGI2YTBiYzczZWIxMGQ4ZThhNDQwYjAiLCJ1c2VySWQiOiIxMTM0NjY2NjcxIn0=</vt:lpwstr>
  </property>
</Properties>
</file>