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pacing w:afterAutospacing="0" w:line="560" w:lineRule="exact"/>
        <w:textAlignment w:val="auto"/>
        <w:rPr>
          <w:rFonts w:hint="default"/>
          <w:sz w:val="32"/>
          <w:szCs w:val="40"/>
          <w:lang w:val="en-US" w:eastAsia="zh-CN"/>
        </w:rPr>
      </w:pPr>
      <w:r>
        <w:rPr>
          <w:rFonts w:hint="eastAsia" w:ascii="黑体" w:hAnsi="黑体" w:eastAsia="黑体" w:cs="黑体"/>
          <w:sz w:val="32"/>
          <w:szCs w:val="40"/>
          <w:lang w:val="en-US" w:eastAsia="zh-CN"/>
        </w:rPr>
        <w:t>附件1</w:t>
      </w:r>
    </w:p>
    <w:p>
      <w:pPr>
        <w:pStyle w:val="13"/>
        <w:keepNext w:val="0"/>
        <w:keepLines w:val="0"/>
        <w:pageBreakBefore w:val="0"/>
        <w:widowControl w:val="0"/>
        <w:kinsoku/>
        <w:wordWrap/>
        <w:overflowPunct/>
        <w:topLinePunct w:val="0"/>
        <w:autoSpaceDE/>
        <w:autoSpaceDN/>
        <w:bidi w:val="0"/>
        <w:adjustRightInd/>
        <w:snapToGrid w:val="0"/>
        <w:spacing w:afterAutospacing="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抚远市领导干部包联企业</w:t>
      </w:r>
    </w:p>
    <w:p>
      <w:pPr>
        <w:keepNext w:val="0"/>
        <w:keepLines w:val="0"/>
        <w:pageBreakBefore w:val="0"/>
        <w:widowControl w:val="0"/>
        <w:kinsoku/>
        <w:wordWrap/>
        <w:overflowPunct/>
        <w:topLinePunct w:val="0"/>
        <w:autoSpaceDE/>
        <w:autoSpaceDN/>
        <w:bidi w:val="0"/>
        <w:adjustRightInd/>
        <w:snapToGrid w:val="0"/>
        <w:spacing w:afterAutospacing="0" w:line="560" w:lineRule="exact"/>
        <w:jc w:val="center"/>
        <w:textAlignment w:val="auto"/>
        <w:rPr>
          <w:rFonts w:hint="default" w:ascii="Times New Roman" w:hAnsi="Times New Roman" w:eastAsia="方正小标宋简体" w:cs="Times New Roman"/>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“敲门行动”工作方案</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textAlignment w:val="auto"/>
        <w:rPr>
          <w:rFonts w:hint="default" w:ascii="仿宋_GB2312" w:hAnsi="仿宋_GB2312" w:eastAsia="仿宋_GB2312" w:cs="仿宋_GB2312"/>
          <w:sz w:val="32"/>
          <w:szCs w:val="32"/>
          <w:lang w:val="en-US" w:eastAsia="zh-CN"/>
        </w:rPr>
      </w:pPr>
    </w:p>
    <w:p>
      <w:pPr>
        <w:pStyle w:val="13"/>
        <w:keepNext w:val="0"/>
        <w:keepLines w:val="0"/>
        <w:pageBreakBefore w:val="0"/>
        <w:widowControl w:val="0"/>
        <w:kinsoku/>
        <w:wordWrap/>
        <w:overflowPunct/>
        <w:topLinePunct w:val="0"/>
        <w:autoSpaceDE/>
        <w:autoSpaceDN/>
        <w:bidi w:val="0"/>
        <w:adjustRightInd/>
        <w:snapToGrid w:val="0"/>
        <w:spacing w:afterAutospacing="0" w:line="560" w:lineRule="exact"/>
        <w:ind w:left="0" w:leftChars="0" w:right="0" w:rightChars="0" w:firstLine="64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w:t>
      </w:r>
      <w:r>
        <w:rPr>
          <w:rFonts w:hint="eastAsia" w:ascii="仿宋_GB2312" w:hAnsi="仿宋_GB2312" w:cs="仿宋_GB2312"/>
          <w:sz w:val="32"/>
          <w:szCs w:val="32"/>
          <w:lang w:val="en-US" w:eastAsia="zh-CN"/>
        </w:rPr>
        <w:t>省</w:t>
      </w:r>
      <w:r>
        <w:rPr>
          <w:rFonts w:hint="eastAsia" w:ascii="仿宋_GB2312" w:hAnsi="仿宋_GB2312" w:eastAsia="仿宋_GB2312" w:cs="仿宋_GB2312"/>
          <w:sz w:val="32"/>
          <w:szCs w:val="32"/>
          <w:lang w:val="en-US" w:eastAsia="zh-CN"/>
        </w:rPr>
        <w:t>委</w:t>
      </w:r>
      <w:r>
        <w:rPr>
          <w:rFonts w:hint="eastAsia" w:ascii="仿宋_GB2312" w:hAnsi="仿宋_GB2312" w:cs="仿宋_GB2312"/>
          <w:sz w:val="32"/>
          <w:szCs w:val="32"/>
          <w:lang w:val="en-US" w:eastAsia="zh-CN"/>
        </w:rPr>
        <w:t>、市委</w:t>
      </w:r>
      <w:r>
        <w:rPr>
          <w:rFonts w:hint="eastAsia" w:ascii="仿宋_GB2312" w:hAnsi="仿宋_GB2312" w:eastAsia="仿宋_GB2312" w:cs="仿宋_GB2312"/>
          <w:sz w:val="32"/>
          <w:szCs w:val="32"/>
          <w:lang w:val="en-US" w:eastAsia="zh-CN"/>
        </w:rPr>
        <w:t>政府部署要求，为</w:t>
      </w:r>
      <w:r>
        <w:rPr>
          <w:rFonts w:hint="eastAsia" w:ascii="仿宋_GB2312" w:hAnsi="仿宋_GB2312" w:cs="仿宋_GB2312"/>
          <w:sz w:val="32"/>
          <w:szCs w:val="32"/>
          <w:lang w:val="en-US" w:eastAsia="zh-CN"/>
        </w:rPr>
        <w:t>全面落实</w:t>
      </w:r>
      <w:r>
        <w:rPr>
          <w:rFonts w:hint="eastAsia" w:ascii="CESI仿宋-GB2312" w:hAnsi="CESI仿宋-GB2312" w:eastAsia="CESI仿宋-GB2312" w:cs="CESI仿宋-GB2312"/>
          <w:sz w:val="32"/>
          <w:szCs w:val="32"/>
          <w:lang w:val="en-US" w:eastAsia="zh-CN"/>
        </w:rPr>
        <w:t>促进全市经济加快发展若干政策措施</w:t>
      </w:r>
      <w:r>
        <w:rPr>
          <w:rFonts w:hint="eastAsia" w:ascii="仿宋_GB2312" w:hAnsi="仿宋_GB2312" w:eastAsia="仿宋_GB2312" w:cs="仿宋_GB2312"/>
          <w:sz w:val="32"/>
          <w:szCs w:val="32"/>
          <w:lang w:val="en-US" w:eastAsia="zh-CN"/>
        </w:rPr>
        <w:t>，统筹抓好全市领导干部包联企业工作，持续推动全市包联企业工作走深走细走实，现成立市领导干部包联企业工作专班，并制定本工作方案。</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一、工作职责及目标</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firstLine="640"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深入贯彻省委、市委政府制定的促经济发展政策，全面落实领导责任、工作推进、考核评价、督导问责“四个体系”要求，强化企业生产经营指导，全面开展助企纾困工作，积极引导企业用足用好促经济发展政策，更好激发企业创新发展活力，帮助企业健康稳步发展。</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二、专班组成人员</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  长：郑树一  市委常委、副市长</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副组长：李  飞  市工信局副局长（主持工作）</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  员：市发改局、市工信局、市商务和口岸局、市农业农村局、市委办公室、市政府办公室、市委宣传部、市纪委监委、市委组织部、市委统战部、市人大常委会办公室、市政协办公室、市公安局、市教育局、市市场监管局、市应急局、市住建局、市交通局、市生态环境局等单位分管领导。</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专班办公室设在市工信局，办公</w:t>
      </w:r>
      <w:bookmarkStart w:id="0" w:name="_GoBack"/>
      <w:bookmarkEnd w:id="0"/>
      <w:r>
        <w:rPr>
          <w:rFonts w:hint="eastAsia" w:ascii="仿宋_GB2312" w:hAnsi="仿宋_GB2312" w:eastAsia="仿宋_GB2312" w:cs="仿宋_GB2312"/>
          <w:sz w:val="32"/>
          <w:szCs w:val="32"/>
          <w:lang w:val="en-US" w:eastAsia="zh-CN"/>
        </w:rPr>
        <w:t>室主任由市工信局分管领导兼任。</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三、专班成员职责分工</w:t>
      </w:r>
    </w:p>
    <w:p>
      <w:pPr>
        <w:pStyle w:val="15"/>
        <w:keepNext w:val="0"/>
        <w:keepLines w:val="0"/>
        <w:pageBreakBefore w:val="0"/>
        <w:widowControl w:val="0"/>
        <w:kinsoku/>
        <w:wordWrap/>
        <w:overflowPunct/>
        <w:topLinePunct w:val="0"/>
        <w:autoSpaceDE/>
        <w:autoSpaceDN/>
        <w:bidi w:val="0"/>
        <w:adjustRightInd/>
        <w:snapToGrid/>
        <w:spacing w:afterAutospacing="0" w:line="560" w:lineRule="exact"/>
        <w:ind w:right="0" w:rightChars="0"/>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Times New Roman" w:hAnsi="Times New Roman" w:cs="Times New Roman"/>
          <w:sz w:val="32"/>
          <w:szCs w:val="32"/>
          <w:lang w:val="en-US" w:eastAsia="zh-CN"/>
        </w:rPr>
        <w:t xml:space="preserve">   </w:t>
      </w:r>
      <w:r>
        <w:rPr>
          <w:rFonts w:hint="eastAsia" w:ascii="楷体" w:hAnsi="楷体" w:eastAsia="楷体" w:cs="楷体"/>
          <w:b/>
          <w:bCs/>
          <w:sz w:val="32"/>
          <w:szCs w:val="32"/>
          <w:lang w:val="en-US" w:eastAsia="zh-CN"/>
        </w:rPr>
        <w:t>（一）专班办公室（专班办设在市工信局）：</w:t>
      </w:r>
      <w:r>
        <w:rPr>
          <w:rFonts w:hint="default" w:ascii="仿宋_GB2312" w:hAnsi="仿宋_GB2312" w:eastAsia="仿宋_GB2312" w:cs="仿宋_GB2312"/>
          <w:kern w:val="2"/>
          <w:sz w:val="32"/>
          <w:szCs w:val="32"/>
          <w:lang w:val="en-US" w:eastAsia="zh-CN" w:bidi="ar-SA"/>
        </w:rPr>
        <w:t>进一步强化工作力量，建立工作机制，统筹做好综合协调、承办落实等相关工作任务；定期汇总报告各工作组进展成效，梳理企业的共性问题和长期难以解决的问题，组织集中会办，必要时报请</w:t>
      </w:r>
      <w:r>
        <w:rPr>
          <w:rFonts w:hint="eastAsia" w:ascii="仿宋_GB2312" w:hAnsi="仿宋_GB2312" w:eastAsia="仿宋_GB2312" w:cs="仿宋_GB2312"/>
          <w:kern w:val="2"/>
          <w:sz w:val="32"/>
          <w:szCs w:val="32"/>
          <w:lang w:val="en-US" w:eastAsia="zh-CN" w:bidi="ar-SA"/>
        </w:rPr>
        <w:t>市</w:t>
      </w:r>
      <w:r>
        <w:rPr>
          <w:rFonts w:hint="default" w:ascii="仿宋_GB2312" w:hAnsi="仿宋_GB2312" w:eastAsia="仿宋_GB2312" w:cs="仿宋_GB2312"/>
          <w:kern w:val="2"/>
          <w:sz w:val="32"/>
          <w:szCs w:val="32"/>
          <w:lang w:val="en-US" w:eastAsia="zh-CN" w:bidi="ar-SA"/>
        </w:rPr>
        <w:t>委政府召开专题会议或常务会议研究出台政策措施予以解决</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持续开展督导推进。</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textAlignment w:val="auto"/>
        <w:rPr>
          <w:rFonts w:hint="eastAsia" w:ascii="仿宋_GB2312" w:hAnsi="仿宋_GB2312" w:eastAsia="仿宋_GB2312" w:cs="仿宋_GB2312"/>
          <w:sz w:val="32"/>
          <w:szCs w:val="32"/>
          <w:lang w:val="en-US" w:eastAsia="zh-CN"/>
        </w:rPr>
      </w:pPr>
      <w:r>
        <w:rPr>
          <w:rFonts w:hint="eastAsia" w:ascii="Times New Roman" w:hAnsi="Times New Roman" w:cs="Times New Roman"/>
          <w:sz w:val="32"/>
          <w:szCs w:val="32"/>
          <w:lang w:val="en-US" w:eastAsia="zh-CN"/>
        </w:rPr>
        <w:t xml:space="preserve">  </w:t>
      </w:r>
      <w:r>
        <w:rPr>
          <w:rFonts w:hint="eastAsia" w:ascii="楷体" w:hAnsi="楷体" w:eastAsia="楷体" w:cs="楷体"/>
          <w:b/>
          <w:bCs/>
          <w:kern w:val="2"/>
          <w:sz w:val="32"/>
          <w:szCs w:val="32"/>
          <w:lang w:val="en-US" w:eastAsia="zh-CN" w:bidi="ar-SA"/>
        </w:rPr>
        <w:t xml:space="preserve"> （二）包联企业工作组单位</w:t>
      </w:r>
      <w:r>
        <w:rPr>
          <w:rFonts w:hint="default" w:ascii="楷体" w:hAnsi="楷体" w:eastAsia="楷体" w:cs="楷体"/>
          <w:b/>
          <w:bCs/>
          <w:kern w:val="2"/>
          <w:sz w:val="32"/>
          <w:szCs w:val="32"/>
          <w:lang w:val="en-US" w:eastAsia="zh-CN" w:bidi="ar-SA"/>
        </w:rPr>
        <w:t>（</w:t>
      </w:r>
      <w:r>
        <w:rPr>
          <w:rFonts w:hint="eastAsia" w:ascii="楷体" w:hAnsi="楷体" w:eastAsia="楷体" w:cs="楷体"/>
          <w:b/>
          <w:bCs/>
          <w:kern w:val="2"/>
          <w:sz w:val="32"/>
          <w:szCs w:val="32"/>
          <w:lang w:val="en-US" w:eastAsia="zh-CN" w:bidi="ar-SA"/>
        </w:rPr>
        <w:t>市领导包联企业工作组单位调整为市发改局、市商务和口岸局、市农业农村局、市委办公室、市政府办公室、市委宣传部、市纪委监委、市委组织部、市委统战部、市人大常委会办公室、市政协办公室、市公安局、市教育局、市市场监管局、市应急局、市住建局、市交通局、市生态环境局、市非公办、市营商局、市自然资源和规划局、市司法局、市税务局、市卫健委、市人社局、市民政局等27个部门）：</w:t>
      </w:r>
      <w:r>
        <w:rPr>
          <w:rFonts w:hint="eastAsia" w:ascii="仿宋_GB2312" w:hAnsi="仿宋_GB2312" w:eastAsia="仿宋_GB2312" w:cs="仿宋_GB2312"/>
          <w:sz w:val="32"/>
          <w:szCs w:val="32"/>
          <w:lang w:val="en-US" w:eastAsia="zh-CN"/>
        </w:rPr>
        <w:t>作为协调推进的工作机构，负责制定工作计划、联系沟通包联企业、梳理问题诉求，研究解决方案，及时向负有落实责任的乡（镇）政府、相关部门转办工作任务并做好跟进落实；落实包联领导作出的各项具体安排，持续推进直至问题诉求最终解决。</w:t>
      </w:r>
    </w:p>
    <w:p>
      <w:pPr>
        <w:pStyle w:val="16"/>
        <w:keepNext w:val="0"/>
        <w:keepLines w:val="0"/>
        <w:pageBreakBefore w:val="0"/>
        <w:widowControl w:val="0"/>
        <w:kinsoku/>
        <w:wordWrap/>
        <w:overflowPunct/>
        <w:topLinePunct w:val="0"/>
        <w:autoSpaceDE/>
        <w:autoSpaceDN/>
        <w:bidi w:val="0"/>
        <w:adjustRightInd/>
        <w:snapToGrid/>
        <w:spacing w:afterAutospacing="0" w:line="560" w:lineRule="exact"/>
        <w:ind w:right="0" w:rightChars="0"/>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Times New Roman" w:hAnsi="Times New Roman" w:cs="Times New Roman"/>
          <w:sz w:val="32"/>
          <w:szCs w:val="32"/>
          <w:lang w:val="en-US" w:eastAsia="zh-CN"/>
        </w:rPr>
        <w:t xml:space="preserve">   </w:t>
      </w:r>
      <w:r>
        <w:rPr>
          <w:rFonts w:hint="eastAsia" w:ascii="楷体" w:hAnsi="楷体" w:eastAsia="楷体" w:cs="楷体"/>
          <w:b/>
          <w:bCs/>
          <w:kern w:val="2"/>
          <w:sz w:val="32"/>
          <w:szCs w:val="32"/>
          <w:lang w:val="en-US" w:eastAsia="zh-CN" w:bidi="ar-SA"/>
        </w:rPr>
        <w:t>（三）负有落实责任的乡（镇）党委政府、有关部门。</w:t>
      </w:r>
      <w:r>
        <w:rPr>
          <w:rFonts w:hint="default" w:ascii="仿宋_GB2312" w:hAnsi="仿宋_GB2312" w:eastAsia="仿宋_GB2312" w:cs="仿宋_GB2312"/>
          <w:kern w:val="2"/>
          <w:sz w:val="32"/>
          <w:szCs w:val="32"/>
          <w:lang w:val="en-US" w:eastAsia="zh-CN" w:bidi="ar-SA"/>
        </w:rPr>
        <w:t>作为解决问题诉求的具体责任单位，要成立专门推进机构，及时承办工作组转办的事项，认真组织核实、办理、反馈等工作，推动问题尽快解决并及时报告相关工作进展情况。</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四、工作推进机制</w:t>
      </w:r>
    </w:p>
    <w:p>
      <w:pPr>
        <w:pStyle w:val="17"/>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Times New Roman" w:hAnsi="Times New Roman" w:eastAsia="仿宋_GB2312" w:cs="Times New Roman"/>
          <w:sz w:val="32"/>
          <w:lang w:val="en-US" w:eastAsia="zh-CN"/>
        </w:rPr>
        <w:t>按</w:t>
      </w:r>
      <w:r>
        <w:rPr>
          <w:rFonts w:hint="default" w:ascii="仿宋_GB2312" w:hAnsi="仿宋_GB2312" w:eastAsia="仿宋_GB2312" w:cs="仿宋_GB2312"/>
          <w:kern w:val="2"/>
          <w:sz w:val="32"/>
          <w:szCs w:val="32"/>
          <w:lang w:val="en-US" w:eastAsia="zh-CN" w:bidi="ar-SA"/>
        </w:rPr>
        <w:t>照全面落实领导责任、工作推进、考核评价、督导问责“四个体系”要求，建立健全分级解决问题诉求8项常态化机制。</w:t>
      </w:r>
    </w:p>
    <w:p>
      <w:pPr>
        <w:pStyle w:val="19"/>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1. 建立诉求直达制度。</w:t>
      </w:r>
      <w:r>
        <w:rPr>
          <w:rFonts w:hint="default" w:ascii="仿宋_GB2312" w:hAnsi="仿宋_GB2312" w:eastAsia="仿宋_GB2312" w:cs="仿宋_GB2312"/>
          <w:kern w:val="2"/>
          <w:sz w:val="32"/>
          <w:szCs w:val="32"/>
          <w:lang w:val="en-US" w:eastAsia="zh-CN" w:bidi="ar-SA"/>
        </w:rPr>
        <w:t>包联工作组利用走访调研、电话信件、电子邮箱、微信等多种受理方式，确保第一时间获得包联企业提出的问题诉求、意见建议，并及时将情况报告给包联领导，落实相关转办要求。</w:t>
      </w:r>
    </w:p>
    <w:p>
      <w:pPr>
        <w:pStyle w:val="19"/>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2. 建立台账管理制度。</w:t>
      </w:r>
      <w:r>
        <w:rPr>
          <w:rFonts w:hint="default" w:ascii="仿宋_GB2312" w:hAnsi="仿宋_GB2312" w:eastAsia="仿宋_GB2312" w:cs="仿宋_GB2312"/>
          <w:kern w:val="2"/>
          <w:sz w:val="32"/>
          <w:szCs w:val="32"/>
          <w:lang w:val="en-US" w:eastAsia="zh-CN" w:bidi="ar-SA"/>
        </w:rPr>
        <w:t>（1）包联工作组建立企业问题诉求解决工作台账，第一时间将各种渠道提出的问题诉求和意见建议纳入台账。（2）及时记录责任单位处理问题的时间节点和具体工作进展，对已办结问题诉求经征询包联企业认可、包联领导同意后办结一个销号一个。（3）负有落实责任的</w:t>
      </w:r>
      <w:r>
        <w:rPr>
          <w:rFonts w:hint="eastAsia" w:ascii="仿宋_GB2312" w:hAnsi="仿宋_GB2312" w:eastAsia="仿宋_GB2312" w:cs="仿宋_GB2312"/>
          <w:kern w:val="2"/>
          <w:sz w:val="32"/>
          <w:szCs w:val="32"/>
          <w:lang w:val="en-US" w:eastAsia="zh-CN" w:bidi="ar-SA"/>
        </w:rPr>
        <w:t>乡（镇）</w:t>
      </w:r>
      <w:r>
        <w:rPr>
          <w:rFonts w:hint="default" w:ascii="仿宋_GB2312" w:hAnsi="仿宋_GB2312" w:eastAsia="仿宋_GB2312" w:cs="仿宋_GB2312"/>
          <w:kern w:val="2"/>
          <w:sz w:val="32"/>
          <w:szCs w:val="32"/>
          <w:lang w:val="en-US" w:eastAsia="zh-CN" w:bidi="ar-SA"/>
        </w:rPr>
        <w:t>党委政府、有关部门要建立问题承接办理工作台账，明确具体责任单位、责任人以及办结时限和标准等。</w:t>
      </w:r>
    </w:p>
    <w:p>
      <w:pPr>
        <w:pStyle w:val="19"/>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3. 建立转办协调制度。</w:t>
      </w:r>
      <w:r>
        <w:rPr>
          <w:rFonts w:hint="default" w:ascii="仿宋_GB2312" w:hAnsi="仿宋_GB2312" w:eastAsia="仿宋_GB2312" w:cs="仿宋_GB2312"/>
          <w:kern w:val="2"/>
          <w:sz w:val="32"/>
          <w:szCs w:val="32"/>
          <w:lang w:val="en-US" w:eastAsia="zh-CN" w:bidi="ar-SA"/>
        </w:rPr>
        <w:t>（1）包联工作组统筹领导部署和工作职责，加强对企业问题诉求的精准研判，需由</w:t>
      </w:r>
      <w:r>
        <w:rPr>
          <w:rFonts w:hint="eastAsia" w:ascii="仿宋_GB2312" w:hAnsi="仿宋_GB2312" w:eastAsia="仿宋_GB2312" w:cs="仿宋_GB2312"/>
          <w:kern w:val="2"/>
          <w:sz w:val="32"/>
          <w:szCs w:val="32"/>
          <w:lang w:val="en-US" w:eastAsia="zh-CN" w:bidi="ar-SA"/>
        </w:rPr>
        <w:t>乡（镇）</w:t>
      </w:r>
      <w:r>
        <w:rPr>
          <w:rFonts w:hint="default" w:ascii="仿宋_GB2312" w:hAnsi="仿宋_GB2312" w:eastAsia="仿宋_GB2312" w:cs="仿宋_GB2312"/>
          <w:kern w:val="2"/>
          <w:sz w:val="32"/>
          <w:szCs w:val="32"/>
          <w:lang w:val="en-US" w:eastAsia="zh-CN" w:bidi="ar-SA"/>
        </w:rPr>
        <w:t>层面解决的及时转交</w:t>
      </w:r>
      <w:r>
        <w:rPr>
          <w:rFonts w:hint="eastAsia" w:ascii="仿宋_GB2312" w:hAnsi="仿宋_GB2312" w:eastAsia="仿宋_GB2312" w:cs="仿宋_GB2312"/>
          <w:kern w:val="2"/>
          <w:sz w:val="32"/>
          <w:szCs w:val="32"/>
          <w:lang w:val="en-US" w:eastAsia="zh-CN" w:bidi="ar-SA"/>
        </w:rPr>
        <w:t>乡（镇）</w:t>
      </w:r>
      <w:r>
        <w:rPr>
          <w:rFonts w:hint="default" w:ascii="仿宋_GB2312" w:hAnsi="仿宋_GB2312" w:eastAsia="仿宋_GB2312" w:cs="仿宋_GB2312"/>
          <w:kern w:val="2"/>
          <w:sz w:val="32"/>
          <w:szCs w:val="32"/>
          <w:lang w:val="en-US" w:eastAsia="zh-CN" w:bidi="ar-SA"/>
        </w:rPr>
        <w:t>党委政府办理，需由相关部门解决的及时转交办理。（</w:t>
      </w:r>
      <w:r>
        <w:rPr>
          <w:rFonts w:hint="eastAsia" w:ascii="仿宋_GB2312" w:hAnsi="仿宋_GB2312" w:eastAsia="仿宋_GB2312" w:cs="仿宋_GB2312"/>
          <w:kern w:val="2"/>
          <w:sz w:val="32"/>
          <w:szCs w:val="32"/>
          <w:lang w:val="en-US" w:eastAsia="zh-CN" w:bidi="ar-SA"/>
        </w:rPr>
        <w:t>2</w:t>
      </w:r>
      <w:r>
        <w:rPr>
          <w:rFonts w:hint="default" w:ascii="仿宋_GB2312" w:hAnsi="仿宋_GB2312" w:eastAsia="仿宋_GB2312" w:cs="仿宋_GB2312"/>
          <w:kern w:val="2"/>
          <w:sz w:val="32"/>
          <w:szCs w:val="32"/>
          <w:lang w:val="en-US" w:eastAsia="zh-CN" w:bidi="ar-SA"/>
        </w:rPr>
        <w:t>）负有落实责任的</w:t>
      </w:r>
      <w:r>
        <w:rPr>
          <w:rFonts w:hint="eastAsia" w:ascii="仿宋_GB2312" w:hAnsi="仿宋_GB2312" w:eastAsia="仿宋_GB2312" w:cs="仿宋_GB2312"/>
          <w:kern w:val="2"/>
          <w:sz w:val="32"/>
          <w:szCs w:val="32"/>
          <w:lang w:val="en-US" w:eastAsia="zh-CN" w:bidi="ar-SA"/>
        </w:rPr>
        <w:t>乡（镇）</w:t>
      </w:r>
      <w:r>
        <w:rPr>
          <w:rFonts w:hint="default" w:ascii="仿宋_GB2312" w:hAnsi="仿宋_GB2312" w:eastAsia="仿宋_GB2312" w:cs="仿宋_GB2312"/>
          <w:kern w:val="2"/>
          <w:sz w:val="32"/>
          <w:szCs w:val="32"/>
          <w:lang w:val="en-US" w:eastAsia="zh-CN" w:bidi="ar-SA"/>
        </w:rPr>
        <w:t>党委政府和相关部门建立问题处理工作综合协调机构，对承办企业问题诉求落实到具体单位具体责任人，限时推进办理</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无法解决的问题，提请包联领导协调推进解决。</w:t>
      </w:r>
    </w:p>
    <w:p>
      <w:pPr>
        <w:pStyle w:val="19"/>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Times New Roman" w:hAnsi="Times New Roman" w:eastAsia="仿宋_GB2312" w:cs="Times New Roman"/>
          <w:b w:val="0"/>
          <w:bCs w:val="0"/>
          <w:sz w:val="32"/>
          <w:lang w:val="en-US" w:eastAsia="zh-CN"/>
        </w:rPr>
      </w:pPr>
      <w:r>
        <w:rPr>
          <w:rFonts w:hint="default" w:ascii="楷体" w:hAnsi="楷体" w:eastAsia="楷体" w:cs="楷体"/>
          <w:b/>
          <w:bCs/>
          <w:kern w:val="2"/>
          <w:sz w:val="32"/>
          <w:szCs w:val="32"/>
          <w:lang w:val="en-US" w:eastAsia="zh-CN" w:bidi="ar-SA"/>
        </w:rPr>
        <w:t>4. 建立集中会办制度。</w:t>
      </w:r>
      <w:r>
        <w:rPr>
          <w:rFonts w:hint="eastAsia" w:ascii="Times New Roman" w:hAnsi="Times New Roman" w:eastAsia="仿宋_GB2312" w:cs="Times New Roman"/>
          <w:b w:val="0"/>
          <w:bCs w:val="0"/>
          <w:sz w:val="32"/>
          <w:lang w:val="en-US" w:eastAsia="zh-CN"/>
        </w:rPr>
        <w:t>负有承办责任的乡（镇）党委政府和有关部门</w:t>
      </w:r>
      <w:r>
        <w:rPr>
          <w:rFonts w:hint="default" w:ascii="Times New Roman" w:hAnsi="Times New Roman" w:eastAsia="仿宋_GB2312" w:cs="Times New Roman"/>
          <w:b w:val="0"/>
          <w:bCs w:val="0"/>
          <w:sz w:val="32"/>
          <w:lang w:val="en-US" w:eastAsia="zh-CN"/>
        </w:rPr>
        <w:t>及时组织召开专题会议，集中研究企业反映问题诉求的解决措施，短期解决不了的要明确时间节点和进度要求，并及时报包联工作组。</w:t>
      </w:r>
      <w:r>
        <w:rPr>
          <w:rFonts w:hint="eastAsia" w:ascii="Times New Roman" w:hAnsi="Times New Roman" w:eastAsia="仿宋_GB2312" w:cs="Times New Roman"/>
          <w:b w:val="0"/>
          <w:bCs w:val="0"/>
          <w:sz w:val="32"/>
          <w:lang w:val="en-US" w:eastAsia="zh-CN"/>
        </w:rPr>
        <w:t>包联领导</w:t>
      </w:r>
      <w:r>
        <w:rPr>
          <w:rFonts w:hint="default" w:ascii="Times New Roman" w:hAnsi="Times New Roman" w:eastAsia="仿宋_GB2312" w:cs="Times New Roman"/>
          <w:b w:val="0"/>
          <w:bCs w:val="0"/>
          <w:sz w:val="32"/>
          <w:lang w:val="en-US" w:eastAsia="zh-CN"/>
        </w:rPr>
        <w:t>每月组织1次集中会办，及时协调解决难点问题；包联工作组提请和安排包联领导开展协调会办，对于经包联领导集中会办后仍无法解决的问题提请</w:t>
      </w:r>
      <w:r>
        <w:rPr>
          <w:rFonts w:hint="eastAsia" w:ascii="Times New Roman" w:hAnsi="Times New Roman" w:eastAsia="仿宋_GB2312" w:cs="Times New Roman"/>
          <w:b w:val="0"/>
          <w:bCs w:val="0"/>
          <w:sz w:val="32"/>
          <w:lang w:val="en-US" w:eastAsia="zh-CN"/>
        </w:rPr>
        <w:t>市委、市</w:t>
      </w:r>
      <w:r>
        <w:rPr>
          <w:rFonts w:hint="default" w:ascii="Times New Roman" w:hAnsi="Times New Roman" w:eastAsia="仿宋_GB2312" w:cs="Times New Roman"/>
          <w:b w:val="0"/>
          <w:bCs w:val="0"/>
          <w:sz w:val="32"/>
          <w:lang w:val="en-US" w:eastAsia="zh-CN"/>
        </w:rPr>
        <w:t>政府集中会办。包联工作组及时汇总各工作组反馈的难点问题，召集相关包联工作组、承办单位共同逐项分析、调度研判，针对共性和长期无法解决的疑难问题提请</w:t>
      </w:r>
      <w:r>
        <w:rPr>
          <w:rFonts w:hint="eastAsia" w:ascii="Times New Roman" w:hAnsi="Times New Roman" w:eastAsia="仿宋_GB2312" w:cs="Times New Roman"/>
          <w:b w:val="0"/>
          <w:bCs w:val="0"/>
          <w:sz w:val="32"/>
          <w:lang w:val="en-US" w:eastAsia="zh-CN"/>
        </w:rPr>
        <w:t>市委、市</w:t>
      </w:r>
      <w:r>
        <w:rPr>
          <w:rFonts w:hint="default" w:ascii="Times New Roman" w:hAnsi="Times New Roman" w:eastAsia="仿宋_GB2312" w:cs="Times New Roman"/>
          <w:b w:val="0"/>
          <w:bCs w:val="0"/>
          <w:sz w:val="32"/>
          <w:lang w:val="en-US" w:eastAsia="zh-CN"/>
        </w:rPr>
        <w:t>政府每月组织1次难点问题调度会办。</w:t>
      </w:r>
    </w:p>
    <w:p>
      <w:pPr>
        <w:pStyle w:val="19"/>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楷体" w:hAnsi="楷体" w:eastAsia="楷体" w:cs="楷体"/>
          <w:b/>
          <w:bCs/>
          <w:kern w:val="2"/>
          <w:sz w:val="32"/>
          <w:szCs w:val="32"/>
          <w:lang w:val="en-US" w:eastAsia="zh-CN" w:bidi="ar-SA"/>
        </w:rPr>
        <w:t>5. 建立定期调研制度。</w:t>
      </w:r>
      <w:r>
        <w:rPr>
          <w:rFonts w:hint="default" w:ascii="Times New Roman" w:hAnsi="Times New Roman" w:eastAsia="仿宋_GB2312" w:cs="Times New Roman"/>
          <w:sz w:val="32"/>
          <w:szCs w:val="32"/>
          <w:lang w:val="en-US" w:eastAsia="zh-CN"/>
        </w:rPr>
        <w:t>包联领导每季度至少开展1次全覆盖调研</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对接活动，根据情况开展现场办公或组织集中会办解决问题，一时解决不了的登记建账持续跟进解决。</w:t>
      </w:r>
    </w:p>
    <w:p>
      <w:pPr>
        <w:pStyle w:val="19"/>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default" w:ascii="楷体" w:hAnsi="楷体" w:eastAsia="楷体" w:cs="楷体"/>
          <w:b/>
          <w:bCs/>
          <w:kern w:val="2"/>
          <w:sz w:val="32"/>
          <w:szCs w:val="32"/>
          <w:lang w:val="en-US" w:eastAsia="zh-CN" w:bidi="ar-SA"/>
        </w:rPr>
        <w:t>6. 建立沟通反馈制度。</w:t>
      </w:r>
      <w:r>
        <w:rPr>
          <w:rFonts w:hint="eastAsia" w:ascii="仿宋_GB2312" w:hAnsi="仿宋_GB2312" w:eastAsia="仿宋_GB2312" w:cs="仿宋_GB2312"/>
          <w:kern w:val="2"/>
          <w:sz w:val="32"/>
          <w:szCs w:val="32"/>
          <w:lang w:val="en-US" w:eastAsia="zh-CN" w:bidi="ar-SA"/>
        </w:rPr>
        <w:t>（1）各承办单位及时将问题诉求解决情况反馈给包联领导工作组。对短期内难以解决的问题会同包联企业、相关方面共同研究落实推进计划，并按时向包联工作组反馈问题解决进展情况。（2）包联工作组要与包联企业保持密切联系，对已解决的问题征询包联企业认可后履行销号程序，对尚未解决的问题诉求要每周跟进并向企业反馈进展情况。（3）经包联领导及各方面共同努力仍无法解决的问题，可通过集中会办、汇总上报进行推进，并将结果及时反馈企业。</w:t>
      </w:r>
    </w:p>
    <w:p>
      <w:pPr>
        <w:pStyle w:val="20"/>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7. 建立总结报告制度。</w:t>
      </w:r>
      <w:r>
        <w:rPr>
          <w:rFonts w:hint="eastAsia" w:ascii="仿宋_GB2312" w:hAnsi="仿宋_GB2312" w:eastAsia="仿宋_GB2312" w:cs="仿宋_GB2312"/>
          <w:kern w:val="2"/>
          <w:sz w:val="32"/>
          <w:szCs w:val="32"/>
          <w:lang w:val="en-US" w:eastAsia="zh-CN" w:bidi="ar-SA"/>
        </w:rPr>
        <w:t>（1）各级各相关部门及时总结承办工作进展和成效，于每月1日前报相关领导包联工作组。（2）各级包联工作组梳理总结每月领导包联工作、包联企业反映问题诉求、采取的工作措施、问题解决成效和工作评价等情况，定期向包联领导报告，并于每月3日前报送至专班办。（3）专班办汇总情况后，于每季度第一个月5日前将上季度包联企业工作报告党委政府。</w:t>
      </w:r>
    </w:p>
    <w:p>
      <w:pPr>
        <w:pStyle w:val="19"/>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8. 建立动态调剂制度。</w:t>
      </w:r>
      <w:r>
        <w:rPr>
          <w:rFonts w:hint="eastAsia" w:ascii="仿宋_GB2312" w:hAnsi="仿宋_GB2312" w:eastAsia="仿宋_GB2312" w:cs="仿宋_GB2312"/>
          <w:kern w:val="2"/>
          <w:sz w:val="32"/>
          <w:szCs w:val="32"/>
          <w:lang w:val="en-US" w:eastAsia="zh-CN" w:bidi="ar-SA"/>
        </w:rPr>
        <w:t>立足包联工作连续稳定，原则上按领导岗位包联企业，不因职务变动、工作调整而变动包联企业；对确需调换包联企业的，由本级专班办根据实际情况报请同级党委政府同意后及时调剂，并做好各方信息对称。</w:t>
      </w:r>
    </w:p>
    <w:p>
      <w:pPr>
        <w:pStyle w:val="21"/>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0" w:firstLineChars="0"/>
        <w:jc w:val="both"/>
        <w:textAlignment w:val="auto"/>
        <w:outlineLvl w:val="9"/>
        <w:rPr>
          <w:rFonts w:hint="eastAsia" w:ascii="黑体" w:hAnsi="黑体" w:eastAsia="黑体" w:cs="黑体"/>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五、开展考核评价</w:t>
      </w:r>
    </w:p>
    <w:p>
      <w:pPr>
        <w:pStyle w:val="22"/>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1. 建立考核机制。</w:t>
      </w:r>
      <w:r>
        <w:rPr>
          <w:rFonts w:hint="default" w:ascii="仿宋_GB2312" w:hAnsi="仿宋_GB2312" w:eastAsia="仿宋_GB2312" w:cs="仿宋_GB2312"/>
          <w:kern w:val="2"/>
          <w:sz w:val="32"/>
          <w:szCs w:val="32"/>
          <w:lang w:val="en-US" w:eastAsia="zh-CN" w:bidi="ar-SA"/>
        </w:rPr>
        <w:t>制定领导干部包联企业工作质效量化考核办法，开展上级考核下级，即市地考核县区、县区考核乡镇；同级之间考核，即包联工作综合协调机构考核同级包联工作组、包联工作组考核承办单位。通过量化考核、晾晒成绩，推进包联工作持续走深走实。</w:t>
      </w:r>
    </w:p>
    <w:p>
      <w:pPr>
        <w:pStyle w:val="23"/>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2. 明确考核内容。</w:t>
      </w:r>
      <w:r>
        <w:rPr>
          <w:rFonts w:hint="default" w:ascii="仿宋_GB2312" w:hAnsi="仿宋_GB2312" w:eastAsia="仿宋_GB2312" w:cs="仿宋_GB2312"/>
          <w:kern w:val="2"/>
          <w:sz w:val="32"/>
          <w:szCs w:val="32"/>
          <w:lang w:val="en-US" w:eastAsia="zh-CN" w:bidi="ar-SA"/>
        </w:rPr>
        <w:t>包联企业工作组运行情况考核、包联企业问题解决情况考核三个方面。包联企业工作重点考核建立健全包联工作机制、实施包联企业全覆盖、解决包联企业问题诉求等情况；包联企业工作组运行重点考核定期调研、转办协调、集中会办、总结报告制度落实及企业问题诉求解决等情况；包联企业问题解决重点考核负有承办责任的</w:t>
      </w:r>
      <w:r>
        <w:rPr>
          <w:rFonts w:hint="eastAsia" w:ascii="仿宋_GB2312" w:hAnsi="仿宋_GB2312" w:eastAsia="仿宋_GB2312" w:cs="仿宋_GB2312"/>
          <w:kern w:val="2"/>
          <w:sz w:val="32"/>
          <w:szCs w:val="32"/>
          <w:lang w:val="en-US" w:eastAsia="zh-CN" w:bidi="ar-SA"/>
        </w:rPr>
        <w:t>乡（镇）</w:t>
      </w:r>
      <w:r>
        <w:rPr>
          <w:rFonts w:hint="default" w:ascii="仿宋_GB2312" w:hAnsi="仿宋_GB2312" w:eastAsia="仿宋_GB2312" w:cs="仿宋_GB2312"/>
          <w:kern w:val="2"/>
          <w:sz w:val="32"/>
          <w:szCs w:val="32"/>
          <w:lang w:val="en-US" w:eastAsia="zh-CN" w:bidi="ar-SA"/>
        </w:rPr>
        <w:t>党委政府和有关部门解决企业问题及时率、办结率、满意率及运用数字化管理平台等情况。</w:t>
      </w:r>
    </w:p>
    <w:p>
      <w:pPr>
        <w:pStyle w:val="24"/>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3. 落实考核责任。</w:t>
      </w:r>
      <w:r>
        <w:rPr>
          <w:rFonts w:hint="default" w:ascii="仿宋_GB2312" w:hAnsi="仿宋_GB2312" w:eastAsia="仿宋_GB2312" w:cs="仿宋_GB2312"/>
          <w:kern w:val="2"/>
          <w:sz w:val="32"/>
          <w:szCs w:val="32"/>
          <w:lang w:val="en-US" w:eastAsia="zh-CN" w:bidi="ar-SA"/>
        </w:rPr>
        <w:t>由</w:t>
      </w:r>
      <w:r>
        <w:rPr>
          <w:rFonts w:hint="eastAsia" w:ascii="仿宋_GB2312" w:hAnsi="仿宋_GB2312" w:eastAsia="仿宋_GB2312" w:cs="仿宋_GB2312"/>
          <w:kern w:val="2"/>
          <w:sz w:val="32"/>
          <w:szCs w:val="32"/>
          <w:lang w:val="en-US" w:eastAsia="zh-CN" w:bidi="ar-SA"/>
        </w:rPr>
        <w:t>市</w:t>
      </w:r>
      <w:r>
        <w:rPr>
          <w:rFonts w:hint="default" w:ascii="仿宋_GB2312" w:hAnsi="仿宋_GB2312" w:eastAsia="仿宋_GB2312" w:cs="仿宋_GB2312"/>
          <w:kern w:val="2"/>
          <w:sz w:val="32"/>
          <w:szCs w:val="32"/>
          <w:lang w:val="en-US" w:eastAsia="zh-CN" w:bidi="ar-SA"/>
        </w:rPr>
        <w:t>专班办负责考核</w:t>
      </w:r>
      <w:r>
        <w:rPr>
          <w:rFonts w:hint="eastAsia" w:ascii="仿宋_GB2312" w:hAnsi="仿宋_GB2312" w:eastAsia="仿宋_GB2312" w:cs="仿宋_GB2312"/>
          <w:kern w:val="2"/>
          <w:sz w:val="32"/>
          <w:szCs w:val="32"/>
          <w:lang w:val="en-US" w:eastAsia="zh-CN" w:bidi="ar-SA"/>
        </w:rPr>
        <w:t>市</w:t>
      </w:r>
      <w:r>
        <w:rPr>
          <w:rFonts w:hint="default" w:ascii="仿宋_GB2312" w:hAnsi="仿宋_GB2312" w:eastAsia="仿宋_GB2312" w:cs="仿宋_GB2312"/>
          <w:kern w:val="2"/>
          <w:sz w:val="32"/>
          <w:szCs w:val="32"/>
          <w:lang w:val="en-US" w:eastAsia="zh-CN" w:bidi="ar-SA"/>
        </w:rPr>
        <w:t>领导包联企业工作组工作运行情况，由各</w:t>
      </w:r>
      <w:r>
        <w:rPr>
          <w:rFonts w:hint="eastAsia" w:ascii="仿宋_GB2312" w:hAnsi="仿宋_GB2312" w:eastAsia="仿宋_GB2312" w:cs="仿宋_GB2312"/>
          <w:kern w:val="2"/>
          <w:sz w:val="32"/>
          <w:szCs w:val="32"/>
          <w:lang w:val="en-US" w:eastAsia="zh-CN" w:bidi="ar-SA"/>
        </w:rPr>
        <w:t>市</w:t>
      </w:r>
      <w:r>
        <w:rPr>
          <w:rFonts w:hint="default" w:ascii="仿宋_GB2312" w:hAnsi="仿宋_GB2312" w:eastAsia="仿宋_GB2312" w:cs="仿宋_GB2312"/>
          <w:kern w:val="2"/>
          <w:sz w:val="32"/>
          <w:szCs w:val="32"/>
          <w:lang w:val="en-US" w:eastAsia="zh-CN" w:bidi="ar-SA"/>
        </w:rPr>
        <w:t>领导包联工作组考核承办单位企业问题解决情况</w:t>
      </w:r>
    </w:p>
    <w:p>
      <w:pPr>
        <w:pStyle w:val="21"/>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0" w:firstLineChars="200"/>
        <w:jc w:val="both"/>
        <w:textAlignment w:val="auto"/>
        <w:outlineLvl w:val="9"/>
        <w:rPr>
          <w:rFonts w:hint="eastAsia" w:ascii="黑体" w:hAnsi="黑体" w:eastAsia="黑体" w:cs="黑体"/>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六、强化督导落实</w:t>
      </w:r>
    </w:p>
    <w:p>
      <w:pPr>
        <w:pStyle w:val="25"/>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利用数字管理平台建立受理、转办、落实、反馈、销号闭环督导机制，推动问题及时解决。主要通过以下方式开展：</w:t>
      </w:r>
    </w:p>
    <w:p>
      <w:pPr>
        <w:pStyle w:val="25"/>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1. 定期报告。</w:t>
      </w:r>
      <w:r>
        <w:rPr>
          <w:rFonts w:hint="default" w:ascii="仿宋_GB2312" w:hAnsi="仿宋_GB2312" w:eastAsia="仿宋_GB2312" w:cs="仿宋_GB2312"/>
          <w:kern w:val="2"/>
          <w:sz w:val="32"/>
          <w:szCs w:val="32"/>
          <w:lang w:val="en-US" w:eastAsia="zh-CN" w:bidi="ar-SA"/>
        </w:rPr>
        <w:t>各级包联工作组按期向本级专班办提供阶段性工作进展情况；专班办定期向本级党委政府报告工作进展情况。</w:t>
      </w:r>
    </w:p>
    <w:p>
      <w:pPr>
        <w:pStyle w:val="25"/>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2. 半年通报。</w:t>
      </w:r>
      <w:r>
        <w:rPr>
          <w:rFonts w:hint="default" w:ascii="仿宋_GB2312" w:hAnsi="仿宋_GB2312" w:eastAsia="仿宋_GB2312" w:cs="仿宋_GB2312"/>
          <w:kern w:val="2"/>
          <w:sz w:val="32"/>
          <w:szCs w:val="32"/>
          <w:lang w:val="en-US" w:eastAsia="zh-CN" w:bidi="ar-SA"/>
        </w:rPr>
        <w:t>专班办每半年通报一次包联工作进展和成效。通报内容:一是接收问题及时率、问题办结率和企业满意率；二是包联企业升规入统、产值</w:t>
      </w:r>
      <w:r>
        <w:rPr>
          <w:rFonts w:hint="eastAsia" w:ascii="仿宋_GB2312" w:hAnsi="仿宋_GB2312" w:eastAsia="仿宋_GB2312" w:cs="仿宋_GB2312"/>
          <w:kern w:val="2"/>
          <w:sz w:val="32"/>
          <w:szCs w:val="32"/>
          <w:lang w:val="en-US" w:eastAsia="zh-CN" w:bidi="ar-SA"/>
        </w:rPr>
        <w:t>（营收）</w:t>
      </w:r>
      <w:r>
        <w:rPr>
          <w:rFonts w:hint="default" w:ascii="仿宋_GB2312" w:hAnsi="仿宋_GB2312" w:eastAsia="仿宋_GB2312" w:cs="仿宋_GB2312"/>
          <w:kern w:val="2"/>
          <w:sz w:val="32"/>
          <w:szCs w:val="32"/>
          <w:lang w:val="en-US" w:eastAsia="zh-CN" w:bidi="ar-SA"/>
        </w:rPr>
        <w:t>增长、利润增长和项目开工率、投资完成率、按期投产率等方面情况。</w:t>
      </w:r>
    </w:p>
    <w:p>
      <w:pPr>
        <w:pStyle w:val="25"/>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3. 工作提示。</w:t>
      </w:r>
      <w:r>
        <w:rPr>
          <w:rFonts w:hint="default" w:ascii="仿宋_GB2312" w:hAnsi="仿宋_GB2312" w:eastAsia="仿宋_GB2312" w:cs="仿宋_GB2312"/>
          <w:kern w:val="2"/>
          <w:sz w:val="32"/>
          <w:szCs w:val="32"/>
          <w:lang w:val="en-US" w:eastAsia="zh-CN" w:bidi="ar-SA"/>
        </w:rPr>
        <w:t>专班办可视工作情况向本级领导包联工作组发出提示函，推动工作及时落实。</w:t>
      </w:r>
    </w:p>
    <w:p>
      <w:pPr>
        <w:pStyle w:val="25"/>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default" w:ascii="楷体" w:hAnsi="楷体" w:eastAsia="楷体" w:cs="楷体"/>
          <w:b/>
          <w:bCs/>
          <w:kern w:val="2"/>
          <w:sz w:val="32"/>
          <w:szCs w:val="32"/>
          <w:lang w:val="en-US" w:eastAsia="zh-CN" w:bidi="ar-SA"/>
        </w:rPr>
        <w:t>4. 督导推进。</w:t>
      </w:r>
      <w:r>
        <w:rPr>
          <w:rFonts w:hint="default" w:ascii="仿宋_GB2312" w:hAnsi="仿宋_GB2312" w:eastAsia="仿宋_GB2312" w:cs="仿宋_GB2312"/>
          <w:kern w:val="2"/>
          <w:sz w:val="32"/>
          <w:szCs w:val="32"/>
          <w:lang w:val="en-US" w:eastAsia="zh-CN" w:bidi="ar-SA"/>
        </w:rPr>
        <w:t>专班办可定期不定期深入企业，督导推进各工作组相关事项落实。</w:t>
      </w:r>
    </w:p>
    <w:p>
      <w:pPr>
        <w:pStyle w:val="6"/>
        <w:keepNext w:val="0"/>
        <w:keepLines w:val="0"/>
        <w:pageBreakBefore w:val="0"/>
        <w:widowControl/>
        <w:suppressLineNumbers w:val="0"/>
        <w:kinsoku/>
        <w:wordWrap w:val="0"/>
        <w:overflowPunct/>
        <w:topLinePunct w:val="0"/>
        <w:autoSpaceDE/>
        <w:autoSpaceDN/>
        <w:bidi w:val="0"/>
        <w:adjustRightInd/>
        <w:snapToGrid/>
        <w:spacing w:before="300" w:beforeAutospacing="0" w:after="100" w:afterAutospacing="1" w:line="400" w:lineRule="exact"/>
        <w:ind w:left="0" w:right="0"/>
        <w:jc w:val="both"/>
        <w:rPr>
          <w:rFonts w:hint="eastAsia"/>
          <w:lang w:val="en-US" w:eastAsia="zh-CN"/>
        </w:rPr>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PingFangSC-Regular">
    <w:altName w:val="Segoe Print"/>
    <w:panose1 w:val="00000000000000000000"/>
    <w:charset w:val="00"/>
    <w:family w:val="auto"/>
    <w:pitch w:val="default"/>
    <w:sig w:usb0="00000000" w:usb1="00000000" w:usb2="00000000" w:usb3="00000000" w:csb0="00040001" w:csb1="00000000"/>
  </w:font>
  <w:font w:name="Helvetica">
    <w:altName w:val="Arial"/>
    <w:panose1 w:val="00000000000000000000"/>
    <w:charset w:val="00"/>
    <w:family w:val="auto"/>
    <w:pitch w:val="default"/>
    <w:sig w:usb0="00000000" w:usb1="00000000" w:usb2="00000000" w:usb3="00000000" w:csb0="00040001" w:csb1="00000000"/>
  </w:font>
  <w:font w:name="方正小标宋简体">
    <w:panose1 w:val="00000600000000000000"/>
    <w:charset w:val="86"/>
    <w:family w:val="auto"/>
    <w:pitch w:val="default"/>
    <w:sig w:usb0="800002BF" w:usb1="184F6CF8" w:usb2="00000012" w:usb3="00000000" w:csb0="00160001" w:csb1="1203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Fonts w:hint="eastAsia"/>
        <w:sz w:val="32"/>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4"/>
                            <w:keepNext w:val="0"/>
                            <w:keepLines w:val="0"/>
                            <w:pageBreakBefore w:val="0"/>
                            <w:widowControl w:val="0"/>
                            <w:kinsoku/>
                            <w:wordWrap/>
                            <w:overflowPunct/>
                            <w:topLinePunct w:val="0"/>
                            <w:autoSpaceDE/>
                            <w:autoSpaceDN/>
                            <w:bidi w:val="0"/>
                            <w:adjustRightInd/>
                            <w:snapToGrid w:val="0"/>
                            <w:spacing w:before="0" w:beforeLines="0" w:after="0" w:afterLines="0" w:line="260" w:lineRule="exact"/>
                            <w:ind w:left="0" w:leftChars="0" w:right="0" w:rightChars="0" w:firstLine="0" w:firstLineChars="0"/>
                            <w:jc w:val="left"/>
                            <w:textAlignment w:val="auto"/>
                            <w:outlineLvl w:val="9"/>
                            <w:rPr>
                              <w:rStyle w:val="10"/>
                              <w:rFonts w:hint="eastAsia"/>
                              <w:sz w:val="28"/>
                            </w:rPr>
                          </w:pPr>
                          <w:r>
                            <w:rPr>
                              <w:rStyle w:val="10"/>
                              <w:rFonts w:hint="eastAsia"/>
                              <w:color w:val="FFFFFF"/>
                              <w:sz w:val="28"/>
                              <w:lang w:eastAsia="zh-CN"/>
                            </w:rPr>
                            <w:t>—</w:t>
                          </w:r>
                          <w:r>
                            <w:rPr>
                              <w:rStyle w:val="10"/>
                              <w:rFonts w:hint="eastAsia"/>
                              <w:sz w:val="28"/>
                            </w:rPr>
                            <w:t xml:space="preserve">— </w:t>
                          </w:r>
                          <w:r>
                            <w:rPr>
                              <w:sz w:val="28"/>
                            </w:rPr>
                            <w:fldChar w:fldCharType="begin"/>
                          </w:r>
                          <w:r>
                            <w:rPr>
                              <w:rStyle w:val="10"/>
                              <w:sz w:val="28"/>
                            </w:rPr>
                            <w:instrText xml:space="preserve">PAGE  </w:instrText>
                          </w:r>
                          <w:r>
                            <w:rPr>
                              <w:sz w:val="28"/>
                            </w:rPr>
                            <w:fldChar w:fldCharType="separate"/>
                          </w:r>
                          <w:r>
                            <w:rPr>
                              <w:rStyle w:val="10"/>
                              <w:sz w:val="28"/>
                            </w:rPr>
                            <w:t>2</w:t>
                          </w:r>
                          <w:r>
                            <w:rPr>
                              <w:sz w:val="28"/>
                            </w:rPr>
                            <w:fldChar w:fldCharType="end"/>
                          </w:r>
                          <w:r>
                            <w:rPr>
                              <w:rStyle w:val="10"/>
                              <w:rFonts w:hint="eastAsia"/>
                              <w:sz w:val="28"/>
                            </w:rPr>
                            <w:t xml:space="preserve"> —</w:t>
                          </w:r>
                          <w:r>
                            <w:rPr>
                              <w:rStyle w:val="10"/>
                              <w:rFonts w:hint="eastAsia"/>
                              <w:color w:val="FFFFFF"/>
                              <w:sz w:val="28"/>
                              <w:lang w:eastAsia="zh-CN"/>
                            </w:rPr>
                            <w:t>—</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hpgkvT&#10;AAAABQEAAA8AAAAAAAAAAQAgAAAAIgAAAGRycy9kb3ducmV2LnhtbFBLAQIUABQAAAAIAIdO4kCl&#10;1m2k7AEAANYDAAAOAAAAAAAAAAEAIAAAACIBAABkcnMvZTJvRG9jLnhtbFBLBQYAAAAABgAGAFkB&#10;AACABQAAAAA=&#10;">
              <v:fill on="f" focussize="0,0"/>
              <v:stroke on="f" weight="1.25pt"/>
              <v:imagedata o:title=""/>
              <o:lock v:ext="edit" aspectratio="f"/>
              <v:textbox inset="0mm,0mm,0mm,0mm" style="mso-fit-shape-to-text:t;">
                <w:txbxContent>
                  <w:p>
                    <w:pPr>
                      <w:pStyle w:val="4"/>
                      <w:keepNext w:val="0"/>
                      <w:keepLines w:val="0"/>
                      <w:pageBreakBefore w:val="0"/>
                      <w:widowControl w:val="0"/>
                      <w:kinsoku/>
                      <w:wordWrap/>
                      <w:overflowPunct/>
                      <w:topLinePunct w:val="0"/>
                      <w:autoSpaceDE/>
                      <w:autoSpaceDN/>
                      <w:bidi w:val="0"/>
                      <w:adjustRightInd/>
                      <w:snapToGrid w:val="0"/>
                      <w:spacing w:before="0" w:beforeLines="0" w:after="0" w:afterLines="0" w:line="260" w:lineRule="exact"/>
                      <w:ind w:left="0" w:leftChars="0" w:right="0" w:rightChars="0" w:firstLine="0" w:firstLineChars="0"/>
                      <w:jc w:val="left"/>
                      <w:textAlignment w:val="auto"/>
                      <w:outlineLvl w:val="9"/>
                      <w:rPr>
                        <w:rStyle w:val="10"/>
                        <w:rFonts w:hint="eastAsia"/>
                        <w:sz w:val="28"/>
                      </w:rPr>
                    </w:pPr>
                    <w:r>
                      <w:rPr>
                        <w:rStyle w:val="10"/>
                        <w:rFonts w:hint="eastAsia"/>
                        <w:color w:val="FFFFFF"/>
                        <w:sz w:val="28"/>
                        <w:lang w:eastAsia="zh-CN"/>
                      </w:rPr>
                      <w:t>—</w:t>
                    </w:r>
                    <w:r>
                      <w:rPr>
                        <w:rStyle w:val="10"/>
                        <w:rFonts w:hint="eastAsia"/>
                        <w:sz w:val="28"/>
                      </w:rPr>
                      <w:t xml:space="preserve">— </w:t>
                    </w:r>
                    <w:r>
                      <w:rPr>
                        <w:sz w:val="28"/>
                      </w:rPr>
                      <w:fldChar w:fldCharType="begin"/>
                    </w:r>
                    <w:r>
                      <w:rPr>
                        <w:rStyle w:val="10"/>
                        <w:sz w:val="28"/>
                      </w:rPr>
                      <w:instrText xml:space="preserve">PAGE  </w:instrText>
                    </w:r>
                    <w:r>
                      <w:rPr>
                        <w:sz w:val="28"/>
                      </w:rPr>
                      <w:fldChar w:fldCharType="separate"/>
                    </w:r>
                    <w:r>
                      <w:rPr>
                        <w:rStyle w:val="10"/>
                        <w:sz w:val="28"/>
                      </w:rPr>
                      <w:t>2</w:t>
                    </w:r>
                    <w:r>
                      <w:rPr>
                        <w:sz w:val="28"/>
                      </w:rPr>
                      <w:fldChar w:fldCharType="end"/>
                    </w:r>
                    <w:r>
                      <w:rPr>
                        <w:rStyle w:val="10"/>
                        <w:rFonts w:hint="eastAsia"/>
                        <w:sz w:val="28"/>
                      </w:rPr>
                      <w:t xml:space="preserve"> —</w:t>
                    </w:r>
                    <w:r>
                      <w:rPr>
                        <w:rStyle w:val="10"/>
                        <w:rFonts w:hint="eastAsia"/>
                        <w:color w:val="FFFFFF"/>
                        <w:sz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japaneseCounting"/>
      <w:pStyle w:val="28"/>
      <w:lvlText w:val="（%1）"/>
      <w:lvlJc w:val="left"/>
      <w:pPr>
        <w:tabs>
          <w:tab w:val="left" w:pos="1542"/>
        </w:tabs>
        <w:ind w:left="1542" w:hanging="1080"/>
      </w:pPr>
      <w:rPr>
        <w:rFonts w:hint="default"/>
      </w:rPr>
    </w:lvl>
    <w:lvl w:ilvl="1" w:tentative="0">
      <w:start w:val="1"/>
      <w:numFmt w:val="lowerLetter"/>
      <w:lvlText w:val="%2)"/>
      <w:lvlJc w:val="left"/>
      <w:pPr>
        <w:tabs>
          <w:tab w:val="left" w:pos="1302"/>
        </w:tabs>
        <w:ind w:left="1302" w:hanging="420"/>
      </w:pPr>
    </w:lvl>
    <w:lvl w:ilvl="2" w:tentative="0">
      <w:start w:val="1"/>
      <w:numFmt w:val="lowerRoman"/>
      <w:lvlText w:val="%3."/>
      <w:lvlJc w:val="right"/>
      <w:pPr>
        <w:tabs>
          <w:tab w:val="left" w:pos="1722"/>
        </w:tabs>
        <w:ind w:left="1722" w:hanging="420"/>
      </w:pPr>
    </w:lvl>
    <w:lvl w:ilvl="3" w:tentative="0">
      <w:start w:val="1"/>
      <w:numFmt w:val="decimal"/>
      <w:lvlText w:val="%4."/>
      <w:lvlJc w:val="left"/>
      <w:pPr>
        <w:tabs>
          <w:tab w:val="left" w:pos="2142"/>
        </w:tabs>
        <w:ind w:left="2142" w:hanging="420"/>
      </w:pPr>
    </w:lvl>
    <w:lvl w:ilvl="4" w:tentative="0">
      <w:start w:val="1"/>
      <w:numFmt w:val="lowerLetter"/>
      <w:lvlText w:val="%5)"/>
      <w:lvlJc w:val="left"/>
      <w:pPr>
        <w:tabs>
          <w:tab w:val="left" w:pos="2562"/>
        </w:tabs>
        <w:ind w:left="2562" w:hanging="420"/>
      </w:pPr>
    </w:lvl>
    <w:lvl w:ilvl="5" w:tentative="0">
      <w:start w:val="1"/>
      <w:numFmt w:val="lowerRoman"/>
      <w:lvlText w:val="%6."/>
      <w:lvlJc w:val="right"/>
      <w:pPr>
        <w:tabs>
          <w:tab w:val="left" w:pos="2982"/>
        </w:tabs>
        <w:ind w:left="2982" w:hanging="420"/>
      </w:pPr>
    </w:lvl>
    <w:lvl w:ilvl="6" w:tentative="0">
      <w:start w:val="1"/>
      <w:numFmt w:val="decimal"/>
      <w:lvlText w:val="%7."/>
      <w:lvlJc w:val="left"/>
      <w:pPr>
        <w:tabs>
          <w:tab w:val="left" w:pos="3402"/>
        </w:tabs>
        <w:ind w:left="3402" w:hanging="420"/>
      </w:pPr>
    </w:lvl>
    <w:lvl w:ilvl="7" w:tentative="0">
      <w:start w:val="1"/>
      <w:numFmt w:val="lowerLetter"/>
      <w:lvlText w:val="%8)"/>
      <w:lvlJc w:val="left"/>
      <w:pPr>
        <w:tabs>
          <w:tab w:val="left" w:pos="3822"/>
        </w:tabs>
        <w:ind w:left="3822" w:hanging="420"/>
      </w:pPr>
    </w:lvl>
    <w:lvl w:ilvl="8" w:tentative="0">
      <w:start w:val="1"/>
      <w:numFmt w:val="lowerRoman"/>
      <w:lvlText w:val="%9."/>
      <w:lvlJc w:val="right"/>
      <w:pPr>
        <w:tabs>
          <w:tab w:val="left" w:pos="4242"/>
        </w:tabs>
        <w:ind w:left="42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zNGZjNmJhMTk2MzMyMzdlMTM2MGU0MGY2M2Y1MDMifQ=="/>
  </w:docVars>
  <w:rsids>
    <w:rsidRoot w:val="00172A27"/>
    <w:rsid w:val="03B32BFB"/>
    <w:rsid w:val="047F09AD"/>
    <w:rsid w:val="0526014E"/>
    <w:rsid w:val="05694A23"/>
    <w:rsid w:val="0742188E"/>
    <w:rsid w:val="0910436E"/>
    <w:rsid w:val="0ED30484"/>
    <w:rsid w:val="0FFB6825"/>
    <w:rsid w:val="15FC2096"/>
    <w:rsid w:val="210E1737"/>
    <w:rsid w:val="23B32D0A"/>
    <w:rsid w:val="24836498"/>
    <w:rsid w:val="27031701"/>
    <w:rsid w:val="276A789B"/>
    <w:rsid w:val="29604455"/>
    <w:rsid w:val="2A232022"/>
    <w:rsid w:val="2B1E6971"/>
    <w:rsid w:val="2D0A4774"/>
    <w:rsid w:val="2F8C69E1"/>
    <w:rsid w:val="30F93346"/>
    <w:rsid w:val="31E751B3"/>
    <w:rsid w:val="321F4992"/>
    <w:rsid w:val="32E44746"/>
    <w:rsid w:val="336E495E"/>
    <w:rsid w:val="34976F60"/>
    <w:rsid w:val="3563773D"/>
    <w:rsid w:val="360809CC"/>
    <w:rsid w:val="368F53FC"/>
    <w:rsid w:val="3A5F1E38"/>
    <w:rsid w:val="422C0B9B"/>
    <w:rsid w:val="45B064B4"/>
    <w:rsid w:val="49A038C9"/>
    <w:rsid w:val="4C2D66FB"/>
    <w:rsid w:val="50BD5349"/>
    <w:rsid w:val="513417DB"/>
    <w:rsid w:val="52C42AFE"/>
    <w:rsid w:val="5A713D2E"/>
    <w:rsid w:val="5C455139"/>
    <w:rsid w:val="65CB0B8D"/>
    <w:rsid w:val="65CE37BB"/>
    <w:rsid w:val="666B766A"/>
    <w:rsid w:val="6A885587"/>
    <w:rsid w:val="6AF7716D"/>
    <w:rsid w:val="6B980C1A"/>
    <w:rsid w:val="713A0A76"/>
    <w:rsid w:val="71F3789E"/>
    <w:rsid w:val="78EC03A0"/>
    <w:rsid w:val="7CBC1619"/>
    <w:rsid w:val="7F1255A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Salutation"/>
    <w:basedOn w:val="1"/>
    <w:next w:val="1"/>
    <w:qFormat/>
    <w:uiPriority w:val="0"/>
    <w:rPr>
      <w:rFonts w:ascii="Calibri" w:hAnsi="Calibri" w:eastAsia="宋体" w:cs="Times New Roman"/>
      <w:szCs w:val="24"/>
    </w:rPr>
  </w:style>
  <w:style w:type="paragraph" w:styleId="4">
    <w:name w:val="footer"/>
    <w:basedOn w:val="1"/>
    <w:qFormat/>
    <w:uiPriority w:val="0"/>
    <w:pPr>
      <w:tabs>
        <w:tab w:val="center" w:pos="4153"/>
        <w:tab w:val="right" w:pos="8306"/>
      </w:tabs>
      <w:snapToGrid w:val="0"/>
      <w:jc w:val="left"/>
    </w:pPr>
    <w:rPr>
      <w:rFonts w:eastAsia="仿宋_GB2312"/>
      <w:kern w:val="2"/>
      <w:sz w:val="18"/>
      <w:szCs w:val="18"/>
      <w:lang w:val="en-US" w:eastAsia="zh-CN" w:bidi="ar-SA"/>
    </w:rPr>
  </w:style>
  <w:style w:type="paragraph" w:styleId="5">
    <w:name w:val="header"/>
    <w:basedOn w:val="1"/>
    <w:qFormat/>
    <w:uiPriority w:val="0"/>
    <w:pPr>
      <w:pBdr>
        <w:bottom w:val="single" w:color="auto" w:sz="6" w:space="1"/>
      </w:pBdr>
      <w:tabs>
        <w:tab w:val="center" w:pos="4153"/>
        <w:tab w:val="right" w:pos="8306"/>
      </w:tabs>
      <w:snapToGrid w:val="0"/>
      <w:jc w:val="center"/>
    </w:pPr>
    <w:rPr>
      <w:rFonts w:eastAsia="仿宋_GB2312"/>
      <w:kern w:val="2"/>
      <w:sz w:val="18"/>
      <w:szCs w:val="18"/>
      <w:lang w:val="en-US" w:eastAsia="zh-CN" w:bidi="ar-SA"/>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rPr>
      <w:rFonts w:hint="default" w:ascii="Times New Roman"/>
    </w:rPr>
  </w:style>
  <w:style w:type="character" w:styleId="11">
    <w:name w:val="Emphasis"/>
    <w:basedOn w:val="8"/>
    <w:qFormat/>
    <w:uiPriority w:val="0"/>
    <w:rPr>
      <w:i/>
    </w:rPr>
  </w:style>
  <w:style w:type="character" w:styleId="12">
    <w:name w:val="Hyperlink"/>
    <w:basedOn w:val="8"/>
    <w:qFormat/>
    <w:uiPriority w:val="0"/>
    <w:rPr>
      <w:color w:val="0000FF"/>
      <w:u w:val="single"/>
    </w:rPr>
  </w:style>
  <w:style w:type="paragraph" w:customStyle="1" w:styleId="1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lang w:val="en-US" w:eastAsia="zh-CN" w:bidi="ar-SA"/>
    </w:rPr>
  </w:style>
  <w:style w:type="paragraph" w:customStyle="1" w:styleId="1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
    <w:name w:val="正文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正文 New"/>
    <w:next w:val="18"/>
    <w:qFormat/>
    <w:uiPriority w:val="0"/>
    <w:pPr>
      <w:widowControl w:val="0"/>
      <w:jc w:val="both"/>
    </w:pPr>
    <w:rPr>
      <w:rFonts w:ascii="Times New Roman" w:hAnsi="Times New Roman" w:eastAsia="宋体" w:cs="Times New Roman"/>
      <w:kern w:val="2"/>
      <w:sz w:val="21"/>
      <w:lang w:val="en-US" w:eastAsia="zh-CN"/>
    </w:rPr>
  </w:style>
  <w:style w:type="paragraph" w:customStyle="1" w:styleId="18">
    <w:name w:val="BodyText"/>
    <w:basedOn w:val="17"/>
    <w:qFormat/>
    <w:uiPriority w:val="0"/>
    <w:pPr>
      <w:spacing w:line="560" w:lineRule="exact"/>
      <w:jc w:val="center"/>
      <w:textAlignment w:val="baseline"/>
    </w:pPr>
    <w:rPr>
      <w:rFonts w:ascii="宋体" w:cs="宋体"/>
      <w:b/>
      <w:bCs/>
      <w:sz w:val="44"/>
      <w:szCs w:val="44"/>
    </w:rPr>
  </w:style>
  <w:style w:type="paragraph" w:customStyle="1" w:styleId="19">
    <w:name w:val="正文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0">
    <w:name w:val="正文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正文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正文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2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28">
    <w:name w:val="Char Char1 New New New New New New New New New New New New"/>
    <w:basedOn w:val="1"/>
    <w:next w:val="1"/>
    <w:qFormat/>
    <w:uiPriority w:val="0"/>
    <w:pPr>
      <w:numPr>
        <w:ilvl w:val="0"/>
        <w:numId w:val="1"/>
      </w:numPr>
      <w:tabs>
        <w:tab w:val="left" w:pos="777"/>
        <w:tab w:val="clear" w:pos="1542"/>
      </w:tabs>
      <w:adjustRightInd w:val="0"/>
      <w:snapToGrid w:val="0"/>
      <w:spacing w:before="156" w:beforeLines="50" w:line="360" w:lineRule="auto"/>
      <w:ind w:left="24864"/>
      <w:jc w:val="center"/>
    </w:pPr>
    <w:rPr>
      <w:rFonts w:ascii="Arial" w:hAnsi="Arial" w:cs="Verdana"/>
      <w:color w:val="000000"/>
      <w:kern w:val="0"/>
      <w:sz w:val="22"/>
      <w:lang w:val="en-GB"/>
    </w:rPr>
  </w:style>
  <w:style w:type="character" w:customStyle="1" w:styleId="29">
    <w:name w:val="font31"/>
    <w:basedOn w:val="8"/>
    <w:qFormat/>
    <w:uiPriority w:val="0"/>
    <w:rPr>
      <w:rFonts w:hint="default" w:ascii="PingFangSC-Regular" w:hAnsi="PingFangSC-Regular" w:eastAsia="PingFangSC-Regular" w:cs="PingFangSC-Regular"/>
      <w:color w:val="000000"/>
      <w:sz w:val="21"/>
      <w:szCs w:val="21"/>
      <w:u w:val="none"/>
    </w:rPr>
  </w:style>
  <w:style w:type="character" w:customStyle="1" w:styleId="30">
    <w:name w:val="font11"/>
    <w:basedOn w:val="8"/>
    <w:qFormat/>
    <w:uiPriority w:val="0"/>
    <w:rPr>
      <w:rFonts w:hint="eastAsia" w:ascii="宋体" w:hAnsi="宋体" w:eastAsia="宋体" w:cs="宋体"/>
      <w:color w:val="000000"/>
      <w:sz w:val="22"/>
      <w:szCs w:val="22"/>
      <w:u w:val="none"/>
    </w:rPr>
  </w:style>
  <w:style w:type="character" w:customStyle="1" w:styleId="31">
    <w:name w:val="font41"/>
    <w:basedOn w:val="8"/>
    <w:qFormat/>
    <w:uiPriority w:val="0"/>
    <w:rPr>
      <w:rFonts w:hint="eastAsia" w:ascii="宋体" w:hAnsi="宋体" w:eastAsia="宋体" w:cs="宋体"/>
      <w:color w:val="000000"/>
      <w:sz w:val="21"/>
      <w:szCs w:val="21"/>
      <w:u w:val="none"/>
    </w:rPr>
  </w:style>
  <w:style w:type="character" w:customStyle="1" w:styleId="32">
    <w:name w:val="font61"/>
    <w:basedOn w:val="8"/>
    <w:qFormat/>
    <w:uiPriority w:val="0"/>
    <w:rPr>
      <w:rFonts w:hint="eastAsia" w:ascii="宋体" w:hAnsi="宋体" w:eastAsia="宋体" w:cs="宋体"/>
      <w:color w:val="000000"/>
      <w:sz w:val="21"/>
      <w:szCs w:val="21"/>
      <w:u w:val="none"/>
    </w:rPr>
  </w:style>
  <w:style w:type="character" w:customStyle="1" w:styleId="33">
    <w:name w:val="font71"/>
    <w:basedOn w:val="8"/>
    <w:qFormat/>
    <w:uiPriority w:val="0"/>
    <w:rPr>
      <w:rFonts w:ascii="Helvetica" w:hAnsi="Helvetica" w:eastAsia="Helvetica" w:cs="Helvetica"/>
      <w:color w:val="000000"/>
      <w:sz w:val="21"/>
      <w:szCs w:val="21"/>
      <w:u w:val="none"/>
    </w:rPr>
  </w:style>
  <w:style w:type="character" w:customStyle="1" w:styleId="34">
    <w:name w:val="font81"/>
    <w:basedOn w:val="8"/>
    <w:qFormat/>
    <w:uiPriority w:val="0"/>
    <w:rPr>
      <w:rFonts w:hint="default" w:ascii="PingFangSC-Regular" w:hAnsi="PingFangSC-Regular" w:eastAsia="PingFangSC-Regular" w:cs="PingFangSC-Regular"/>
      <w:color w:val="000000"/>
      <w:sz w:val="21"/>
      <w:szCs w:val="21"/>
      <w:u w:val="none"/>
    </w:rPr>
  </w:style>
  <w:style w:type="character" w:customStyle="1" w:styleId="35">
    <w:name w:val="font01"/>
    <w:basedOn w:val="8"/>
    <w:qFormat/>
    <w:uiPriority w:val="0"/>
    <w:rPr>
      <w:rFonts w:hint="eastAsia" w:ascii="宋体" w:hAnsi="宋体" w:eastAsia="宋体" w:cs="宋体"/>
      <w:color w:val="000000"/>
      <w:sz w:val="21"/>
      <w:szCs w:val="21"/>
      <w:u w:val="none"/>
    </w:rPr>
  </w:style>
  <w:style w:type="character" w:customStyle="1" w:styleId="36">
    <w:name w:val="font91"/>
    <w:basedOn w:val="8"/>
    <w:qFormat/>
    <w:uiPriority w:val="0"/>
    <w:rPr>
      <w:rFonts w:hint="eastAsia" w:ascii="宋体" w:hAnsi="宋体" w:eastAsia="宋体" w:cs="宋体"/>
      <w:color w:val="000000"/>
      <w:sz w:val="21"/>
      <w:szCs w:val="21"/>
      <w:u w:val="none"/>
    </w:rPr>
  </w:style>
  <w:style w:type="character" w:customStyle="1" w:styleId="37">
    <w:name w:val="font101"/>
    <w:basedOn w:val="8"/>
    <w:qFormat/>
    <w:uiPriority w:val="0"/>
    <w:rPr>
      <w:rFonts w:ascii="Helvetica" w:hAnsi="Helvetica" w:eastAsia="Helvetica" w:cs="Helvetica"/>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3005</Words>
  <Characters>3021</Characters>
  <Lines>0</Lines>
  <Paragraphs>0</Paragraphs>
  <TotalTime>25</TotalTime>
  <ScaleCrop>false</ScaleCrop>
  <LinksUpToDate>false</LinksUpToDate>
  <CharactersWithSpaces>3059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秩序与光荣</cp:lastModifiedBy>
  <cp:lastPrinted>2022-08-19T02:41:00Z</cp:lastPrinted>
  <dcterms:modified xsi:type="dcterms:W3CDTF">2023-07-20T07:06:28Z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DBB8EF48EF334766800E39A4DDE36194_13</vt:lpwstr>
  </property>
</Properties>
</file>